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8" w:type="dxa"/>
        <w:tblLook w:val="04A0" w:firstRow="1" w:lastRow="0" w:firstColumn="1" w:lastColumn="0" w:noHBand="0" w:noVBand="1"/>
      </w:tblPr>
      <w:tblGrid>
        <w:gridCol w:w="3263"/>
        <w:gridCol w:w="5965"/>
      </w:tblGrid>
      <w:tr w:rsidR="005A0CD6" w:rsidTr="00C654F6">
        <w:tc>
          <w:tcPr>
            <w:tcW w:w="3263" w:type="dxa"/>
          </w:tcPr>
          <w:p w:rsidR="005A0CD6" w:rsidRDefault="005A0CD6" w:rsidP="00C654F6">
            <w:pPr>
              <w:spacing w:after="0" w:line="252" w:lineRule="auto"/>
              <w:ind w:right="115" w:firstLine="0"/>
              <w:jc w:val="center"/>
              <w:rPr>
                <w:color w:val="auto"/>
              </w:rPr>
            </w:pPr>
            <w:r>
              <w:rPr>
                <w:color w:val="auto"/>
              </w:rPr>
              <w:t>QUỐC HỘI KHÓA XIV</w:t>
            </w:r>
          </w:p>
          <w:p w:rsidR="005A0CD6" w:rsidRPr="009F2BEE" w:rsidRDefault="005A0CD6" w:rsidP="00C654F6">
            <w:pPr>
              <w:spacing w:after="0" w:line="252" w:lineRule="auto"/>
              <w:ind w:right="115" w:firstLine="0"/>
              <w:jc w:val="center"/>
              <w:rPr>
                <w:b/>
                <w:color w:val="auto"/>
                <w:szCs w:val="28"/>
              </w:rPr>
            </w:pPr>
            <w:r w:rsidRPr="009F2BEE">
              <w:rPr>
                <w:b/>
                <w:color w:val="auto"/>
                <w:szCs w:val="28"/>
              </w:rPr>
              <w:t>ỦY BAN PHÁP LUẬT</w:t>
            </w:r>
          </w:p>
          <w:p w:rsidR="005A0CD6" w:rsidRDefault="00CE0755" w:rsidP="00C654F6">
            <w:pPr>
              <w:spacing w:after="0" w:line="252" w:lineRule="auto"/>
              <w:ind w:right="115" w:firstLine="0"/>
              <w:jc w:val="center"/>
              <w:rPr>
                <w:b/>
                <w:color w:val="auto"/>
              </w:rPr>
            </w:pPr>
            <w:r>
              <w:pict>
                <v:line id="_x0000_s1034" style="position:absolute;left:0;text-align:left;z-index:251656192" from="44.85pt,5.6pt" to="98.85pt,5.6pt"/>
              </w:pict>
            </w:r>
          </w:p>
          <w:p w:rsidR="005A0CD6" w:rsidRDefault="00CE0755" w:rsidP="00C654F6">
            <w:pPr>
              <w:spacing w:after="0" w:line="252" w:lineRule="auto"/>
              <w:ind w:firstLine="0"/>
              <w:jc w:val="center"/>
              <w:rPr>
                <w:color w:val="auto"/>
                <w:sz w:val="26"/>
                <w:szCs w:val="26"/>
              </w:rPr>
            </w:pPr>
            <w:r>
              <w:pict>
                <v:line id="_x0000_s1035" style="position:absolute;left:0;text-align:left;flip:x y;z-index:251657216" from="107.85pt,8.8pt" to="108pt,9.15pt"/>
              </w:pict>
            </w:r>
            <w:r w:rsidR="005A0CD6">
              <w:rPr>
                <w:color w:val="auto"/>
                <w:sz w:val="26"/>
                <w:szCs w:val="26"/>
              </w:rPr>
              <w:t>Số: 747/BC-UBPL14</w:t>
            </w:r>
          </w:p>
          <w:p w:rsidR="005A0CD6" w:rsidRPr="00E40345" w:rsidRDefault="005A0CD6" w:rsidP="00C654F6">
            <w:pPr>
              <w:spacing w:after="0" w:line="252" w:lineRule="auto"/>
              <w:rPr>
                <w:color w:val="auto"/>
                <w:szCs w:val="24"/>
              </w:rPr>
            </w:pPr>
          </w:p>
        </w:tc>
        <w:tc>
          <w:tcPr>
            <w:tcW w:w="5965" w:type="dxa"/>
          </w:tcPr>
          <w:p w:rsidR="005A0CD6" w:rsidRDefault="005A0CD6" w:rsidP="00C654F6">
            <w:pPr>
              <w:spacing w:after="0" w:line="252" w:lineRule="auto"/>
              <w:ind w:right="-108"/>
              <w:jc w:val="center"/>
              <w:rPr>
                <w:b/>
                <w:color w:val="auto"/>
              </w:rPr>
            </w:pPr>
            <w:r>
              <w:rPr>
                <w:b/>
                <w:color w:val="auto"/>
              </w:rPr>
              <w:t>CỘNG HÒA XÃ HỘI CHỦ NGHĨA VIỆT NAM</w:t>
            </w:r>
          </w:p>
          <w:p w:rsidR="005A0CD6" w:rsidRDefault="005A0CD6" w:rsidP="00C654F6">
            <w:pPr>
              <w:spacing w:after="0" w:line="252" w:lineRule="auto"/>
              <w:ind w:right="-108"/>
              <w:jc w:val="center"/>
              <w:rPr>
                <w:b/>
                <w:color w:val="auto"/>
                <w:sz w:val="26"/>
                <w:szCs w:val="26"/>
              </w:rPr>
            </w:pPr>
            <w:r>
              <w:rPr>
                <w:b/>
                <w:color w:val="auto"/>
                <w:sz w:val="26"/>
                <w:szCs w:val="26"/>
              </w:rPr>
              <w:t>Độc lập – Tự do – Hạnh phúc</w:t>
            </w:r>
          </w:p>
          <w:p w:rsidR="005A0CD6" w:rsidRDefault="00CE0755" w:rsidP="00C654F6">
            <w:pPr>
              <w:spacing w:before="240" w:after="0" w:line="252" w:lineRule="auto"/>
              <w:jc w:val="center"/>
              <w:rPr>
                <w:i/>
                <w:color w:val="auto"/>
                <w:sz w:val="28"/>
                <w:szCs w:val="28"/>
              </w:rPr>
            </w:pPr>
            <w:r>
              <w:pict>
                <v:shapetype id="_x0000_t32" coordsize="21600,21600" o:spt="32" o:oned="t" path="m,l21600,21600e" filled="f">
                  <v:path arrowok="t" fillok="f" o:connecttype="none"/>
                  <o:lock v:ext="edit" shapetype="t"/>
                </v:shapetype>
                <v:shape id="_x0000_s1036" type="#_x0000_t32" style="position:absolute;left:0;text-align:left;margin-left:79.25pt;margin-top:1.95pt;width:162pt;height:0;z-index:251658240" o:connectortype="straight"/>
              </w:pict>
            </w:r>
            <w:r w:rsidR="005A0CD6">
              <w:rPr>
                <w:i/>
                <w:color w:val="auto"/>
                <w:sz w:val="28"/>
                <w:szCs w:val="28"/>
              </w:rPr>
              <w:t xml:space="preserve">        Hà Nội, ngày 15  tháng 8 năm 2017</w:t>
            </w:r>
          </w:p>
        </w:tc>
      </w:tr>
    </w:tbl>
    <w:p w:rsidR="005A0CD6" w:rsidRDefault="005A0CD6" w:rsidP="005A0CD6">
      <w:pPr>
        <w:spacing w:before="240" w:after="0"/>
        <w:ind w:firstLine="0"/>
        <w:jc w:val="center"/>
        <w:rPr>
          <w:b/>
          <w:color w:val="auto"/>
          <w:sz w:val="28"/>
          <w:szCs w:val="28"/>
        </w:rPr>
      </w:pPr>
      <w:r>
        <w:rPr>
          <w:b/>
          <w:color w:val="auto"/>
          <w:sz w:val="28"/>
          <w:szCs w:val="28"/>
        </w:rPr>
        <w:t xml:space="preserve">BÁO CÁO </w:t>
      </w:r>
    </w:p>
    <w:p w:rsidR="005A0CD6" w:rsidRDefault="005A0CD6" w:rsidP="005A0CD6">
      <w:pPr>
        <w:spacing w:after="0"/>
        <w:ind w:firstLine="0"/>
        <w:jc w:val="center"/>
        <w:rPr>
          <w:b/>
          <w:color w:val="auto"/>
          <w:sz w:val="28"/>
          <w:szCs w:val="28"/>
        </w:rPr>
      </w:pPr>
      <w:r>
        <w:rPr>
          <w:b/>
          <w:color w:val="auto"/>
          <w:sz w:val="28"/>
          <w:szCs w:val="28"/>
        </w:rPr>
        <w:t>Thẩm tra dự án Luật Tố cáo (sửa đổi)</w:t>
      </w:r>
    </w:p>
    <w:p w:rsidR="005A0CD6" w:rsidRDefault="00CE0755" w:rsidP="005A0CD6">
      <w:pPr>
        <w:spacing w:before="480" w:after="240"/>
        <w:ind w:firstLine="0"/>
        <w:jc w:val="center"/>
        <w:rPr>
          <w:color w:val="auto"/>
          <w:sz w:val="28"/>
          <w:szCs w:val="28"/>
        </w:rPr>
      </w:pPr>
      <w:r>
        <w:pict>
          <v:line id="_x0000_s1037" style="position:absolute;left:0;text-align:left;z-index:251659264" from="208.8pt,3.05pt" to="250.8pt,3.05pt"/>
        </w:pict>
      </w:r>
      <w:r w:rsidR="005A0CD6">
        <w:rPr>
          <w:color w:val="auto"/>
          <w:sz w:val="28"/>
          <w:szCs w:val="28"/>
        </w:rPr>
        <w:t xml:space="preserve">Kính gửi: Ủy ban Thường vụ Quốc hội, </w:t>
      </w:r>
    </w:p>
    <w:p w:rsidR="005A0CD6" w:rsidRDefault="005A0CD6" w:rsidP="005A0CD6">
      <w:pPr>
        <w:keepNext/>
        <w:spacing w:before="120" w:line="252" w:lineRule="auto"/>
        <w:rPr>
          <w:color w:val="auto"/>
          <w:sz w:val="28"/>
          <w:szCs w:val="28"/>
        </w:rPr>
      </w:pPr>
      <w:r>
        <w:rPr>
          <w:color w:val="auto"/>
          <w:sz w:val="28"/>
          <w:szCs w:val="28"/>
        </w:rPr>
        <w:t>Thực hiện chương trình xây dựng luật, pháp lệnh năm 2017 của Quốc hội, tại kỳ họp thứ 3 (tháng 5/2017) Quốc hội đã thảo luận, cho ý kiến về dự án Luật Tố cáo (sửa đổi) theo</w:t>
      </w:r>
      <w:r w:rsidRPr="006C70DE">
        <w:rPr>
          <w:color w:val="auto"/>
          <w:sz w:val="28"/>
          <w:szCs w:val="28"/>
        </w:rPr>
        <w:t xml:space="preserve"> </w:t>
      </w:r>
      <w:r w:rsidRPr="00C317C9">
        <w:rPr>
          <w:color w:val="auto"/>
          <w:sz w:val="28"/>
          <w:szCs w:val="28"/>
        </w:rPr>
        <w:t xml:space="preserve">Tờ trình của Chính phủ và Báo cáo thẩm tra của </w:t>
      </w:r>
      <w:r>
        <w:rPr>
          <w:color w:val="auto"/>
          <w:sz w:val="28"/>
          <w:szCs w:val="28"/>
        </w:rPr>
        <w:t>Ủy ban Pháp luật của Quốc hội</w:t>
      </w:r>
      <w:r>
        <w:rPr>
          <w:rStyle w:val="FootnoteReference"/>
          <w:color w:val="auto"/>
          <w:sz w:val="28"/>
          <w:szCs w:val="28"/>
        </w:rPr>
        <w:footnoteReference w:id="1"/>
      </w:r>
      <w:r>
        <w:rPr>
          <w:color w:val="auto"/>
          <w:sz w:val="28"/>
          <w:szCs w:val="28"/>
        </w:rPr>
        <w:t xml:space="preserve">. </w:t>
      </w:r>
      <w:r w:rsidRPr="00C317C9">
        <w:rPr>
          <w:color w:val="auto"/>
          <w:sz w:val="28"/>
          <w:szCs w:val="28"/>
        </w:rPr>
        <w:t>Qua thảo luận</w:t>
      </w:r>
      <w:r>
        <w:rPr>
          <w:color w:val="auto"/>
          <w:sz w:val="28"/>
          <w:szCs w:val="28"/>
        </w:rPr>
        <w:t>,</w:t>
      </w:r>
      <w:r w:rsidRPr="00C317C9">
        <w:rPr>
          <w:color w:val="auto"/>
          <w:sz w:val="28"/>
          <w:szCs w:val="28"/>
        </w:rPr>
        <w:t xml:space="preserve"> các vị đại biểu Quốc hội đã cho nhiều ý kiến về những nội dung cụ thể và </w:t>
      </w:r>
      <w:r>
        <w:rPr>
          <w:color w:val="auto"/>
          <w:sz w:val="28"/>
          <w:szCs w:val="28"/>
        </w:rPr>
        <w:t xml:space="preserve">đa số đại biểu </w:t>
      </w:r>
      <w:r w:rsidRPr="00C317C9">
        <w:rPr>
          <w:color w:val="auto"/>
          <w:sz w:val="28"/>
          <w:szCs w:val="28"/>
        </w:rPr>
        <w:t xml:space="preserve">đề nghị </w:t>
      </w:r>
      <w:r>
        <w:rPr>
          <w:color w:val="auto"/>
          <w:sz w:val="28"/>
          <w:szCs w:val="28"/>
        </w:rPr>
        <w:t xml:space="preserve">dự án Luật này nên được </w:t>
      </w:r>
      <w:r w:rsidRPr="00C317C9">
        <w:rPr>
          <w:color w:val="auto"/>
          <w:sz w:val="28"/>
          <w:szCs w:val="28"/>
        </w:rPr>
        <w:t xml:space="preserve">xem xét, thông qua </w:t>
      </w:r>
      <w:r>
        <w:rPr>
          <w:color w:val="auto"/>
          <w:sz w:val="28"/>
          <w:szCs w:val="28"/>
        </w:rPr>
        <w:t xml:space="preserve">theo quy trình tại ba kỳ họp. Ngay </w:t>
      </w:r>
      <w:r w:rsidRPr="00C317C9">
        <w:rPr>
          <w:color w:val="auto"/>
          <w:sz w:val="28"/>
          <w:szCs w:val="28"/>
        </w:rPr>
        <w:t>sau kỳ họp, Ủy ban Thường vụ Quốc hội đã đề nghị Chính phủ khẩn trương chuẩn bị</w:t>
      </w:r>
      <w:r w:rsidRPr="00C317C9">
        <w:rPr>
          <w:color w:val="auto"/>
          <w:sz w:val="28"/>
          <w:szCs w:val="28"/>
          <w:lang w:val="de-DE"/>
        </w:rPr>
        <w:t xml:space="preserve"> dự án Luật theo quy định tại Điều 76 của Luật Ban hành văn bản quy phạm pháp luật. Trên cơ sở đó, </w:t>
      </w:r>
      <w:r w:rsidRPr="00C317C9">
        <w:rPr>
          <w:color w:val="auto"/>
          <w:sz w:val="28"/>
          <w:szCs w:val="28"/>
        </w:rPr>
        <w:t xml:space="preserve">Chính phủ đã </w:t>
      </w:r>
      <w:r>
        <w:rPr>
          <w:color w:val="auto"/>
          <w:sz w:val="28"/>
          <w:szCs w:val="28"/>
        </w:rPr>
        <w:t xml:space="preserve">tiếp thu, chỉnh lý </w:t>
      </w:r>
      <w:r w:rsidRPr="00C317C9">
        <w:rPr>
          <w:color w:val="auto"/>
          <w:sz w:val="28"/>
          <w:szCs w:val="28"/>
        </w:rPr>
        <w:t xml:space="preserve">dự thảo Luật Tố cáo </w:t>
      </w:r>
      <w:r>
        <w:rPr>
          <w:color w:val="auto"/>
          <w:sz w:val="28"/>
          <w:szCs w:val="28"/>
        </w:rPr>
        <w:t xml:space="preserve">(sửa đổi) </w:t>
      </w:r>
      <w:r w:rsidRPr="00C317C9">
        <w:rPr>
          <w:color w:val="auto"/>
          <w:sz w:val="28"/>
          <w:szCs w:val="28"/>
        </w:rPr>
        <w:t xml:space="preserve">và có Báo cáo số </w:t>
      </w:r>
      <w:r>
        <w:rPr>
          <w:color w:val="auto"/>
          <w:sz w:val="28"/>
          <w:szCs w:val="28"/>
        </w:rPr>
        <w:t>338</w:t>
      </w:r>
      <w:r w:rsidRPr="00C317C9">
        <w:rPr>
          <w:color w:val="auto"/>
          <w:sz w:val="28"/>
          <w:szCs w:val="28"/>
        </w:rPr>
        <w:t xml:space="preserve">/BC-CP ngày </w:t>
      </w:r>
      <w:r>
        <w:rPr>
          <w:color w:val="auto"/>
          <w:sz w:val="28"/>
          <w:szCs w:val="28"/>
        </w:rPr>
        <w:t xml:space="preserve">11/8/2017 hoàn thiện, </w:t>
      </w:r>
      <w:r w:rsidRPr="00C317C9">
        <w:rPr>
          <w:color w:val="auto"/>
          <w:sz w:val="28"/>
          <w:szCs w:val="28"/>
        </w:rPr>
        <w:t xml:space="preserve">tiếp thu, giải trình ý kiến đại biểu </w:t>
      </w:r>
      <w:r>
        <w:rPr>
          <w:color w:val="auto"/>
          <w:sz w:val="28"/>
          <w:szCs w:val="28"/>
        </w:rPr>
        <w:t xml:space="preserve">Quốc hội trình </w:t>
      </w:r>
      <w:r w:rsidRPr="00C317C9">
        <w:rPr>
          <w:color w:val="auto"/>
          <w:sz w:val="28"/>
          <w:szCs w:val="28"/>
        </w:rPr>
        <w:t xml:space="preserve">Ủy ban Thường vụ </w:t>
      </w:r>
      <w:r>
        <w:rPr>
          <w:color w:val="auto"/>
          <w:sz w:val="28"/>
          <w:szCs w:val="28"/>
        </w:rPr>
        <w:t>Quốc hội</w:t>
      </w:r>
      <w:r w:rsidRPr="00C317C9">
        <w:rPr>
          <w:color w:val="auto"/>
          <w:sz w:val="28"/>
          <w:szCs w:val="28"/>
        </w:rPr>
        <w:t xml:space="preserve">. </w:t>
      </w:r>
    </w:p>
    <w:p w:rsidR="005A0CD6" w:rsidRDefault="005A0CD6" w:rsidP="005A0CD6">
      <w:pPr>
        <w:keepNext/>
        <w:spacing w:before="120" w:line="252" w:lineRule="auto"/>
        <w:rPr>
          <w:color w:val="auto"/>
          <w:sz w:val="28"/>
          <w:szCs w:val="28"/>
        </w:rPr>
      </w:pPr>
      <w:r>
        <w:rPr>
          <w:color w:val="auto"/>
          <w:sz w:val="28"/>
          <w:szCs w:val="28"/>
        </w:rPr>
        <w:t xml:space="preserve">Thực hiện nhiệm vụ theo quy định của pháp luật, ngày 14/08/2017 Ủy ban Pháp luật tổ chức phiên họp toàn thể để thẩm tra dự án Luật. Tham dự phiên họp có đại diện Thường trực Hội đồng Dân tộc, Ủy ban Văn hóa, giáo dục, thanh niên, thiếu niên và nhi đồng, Ủy ban Các vấn đề xã hội của Quốc hội; đại diện Ban Nội chính Trung ương, Tòa án nhân dân tối cao, Viện </w:t>
      </w:r>
      <w:r w:rsidR="00C30299">
        <w:rPr>
          <w:color w:val="auto"/>
          <w:sz w:val="28"/>
          <w:szCs w:val="28"/>
        </w:rPr>
        <w:t>k</w:t>
      </w:r>
      <w:r>
        <w:rPr>
          <w:color w:val="auto"/>
          <w:sz w:val="28"/>
          <w:szCs w:val="28"/>
        </w:rPr>
        <w:t xml:space="preserve">iểm sát nhân dân tối cao, Bộ Công an. Sau khi nghe Phó Tổng Thanh tra Chính phủ thay mặt Tổng Thanh tra Chính phủ được Thủ tướng Chính phủ ủy quyền trình bày Báo cáo, các đại biểu tham dự đã thảo luận. Ủy ban Pháp luật kính trình Ủy ban Thường vụ Quốc hội Báo cáo thẩm tra về dự án Luật Tố cáo (sửa đổi) theo Báo cáo tiếp thu, giải trình </w:t>
      </w:r>
      <w:r w:rsidRPr="00C317C9">
        <w:rPr>
          <w:color w:val="auto"/>
          <w:sz w:val="28"/>
          <w:szCs w:val="28"/>
        </w:rPr>
        <w:t xml:space="preserve">số </w:t>
      </w:r>
      <w:r>
        <w:rPr>
          <w:color w:val="auto"/>
          <w:sz w:val="28"/>
          <w:szCs w:val="28"/>
        </w:rPr>
        <w:t>338</w:t>
      </w:r>
      <w:r w:rsidRPr="00C317C9">
        <w:rPr>
          <w:color w:val="auto"/>
          <w:sz w:val="28"/>
          <w:szCs w:val="28"/>
        </w:rPr>
        <w:t xml:space="preserve">/BC-CP </w:t>
      </w:r>
      <w:r>
        <w:rPr>
          <w:color w:val="auto"/>
          <w:sz w:val="28"/>
          <w:szCs w:val="28"/>
        </w:rPr>
        <w:t>của Chính phủ như sau.</w:t>
      </w:r>
    </w:p>
    <w:p w:rsidR="005A0CD6" w:rsidRPr="004868C6" w:rsidRDefault="005A0CD6" w:rsidP="00D576C7">
      <w:pPr>
        <w:spacing w:before="120" w:line="252" w:lineRule="auto"/>
        <w:rPr>
          <w:color w:val="auto"/>
          <w:sz w:val="26"/>
          <w:szCs w:val="28"/>
        </w:rPr>
      </w:pPr>
      <w:r w:rsidRPr="004868C6">
        <w:rPr>
          <w:b/>
          <w:color w:val="auto"/>
          <w:sz w:val="26"/>
          <w:szCs w:val="28"/>
        </w:rPr>
        <w:t>I. Ý KIẾN CHUNG</w:t>
      </w:r>
    </w:p>
    <w:p w:rsidR="005A0CD6" w:rsidRPr="00C317C9" w:rsidRDefault="005A0CD6" w:rsidP="00D576C7">
      <w:pPr>
        <w:spacing w:before="120" w:line="252" w:lineRule="auto"/>
        <w:rPr>
          <w:color w:val="auto"/>
          <w:spacing w:val="-4"/>
          <w:sz w:val="28"/>
          <w:szCs w:val="28"/>
        </w:rPr>
      </w:pPr>
      <w:r>
        <w:rPr>
          <w:color w:val="auto"/>
          <w:sz w:val="28"/>
          <w:szCs w:val="28"/>
        </w:rPr>
        <w:t xml:space="preserve">Chính phủ, </w:t>
      </w:r>
      <w:r w:rsidRPr="00C317C9">
        <w:rPr>
          <w:color w:val="auto"/>
          <w:spacing w:val="-4"/>
          <w:sz w:val="28"/>
          <w:szCs w:val="28"/>
        </w:rPr>
        <w:t xml:space="preserve">Cơ quan </w:t>
      </w:r>
      <w:r>
        <w:rPr>
          <w:color w:val="auto"/>
          <w:spacing w:val="-4"/>
          <w:sz w:val="28"/>
          <w:szCs w:val="28"/>
        </w:rPr>
        <w:t xml:space="preserve">chủ trì </w:t>
      </w:r>
      <w:r w:rsidRPr="00C317C9">
        <w:rPr>
          <w:color w:val="auto"/>
          <w:spacing w:val="-4"/>
          <w:sz w:val="28"/>
          <w:szCs w:val="28"/>
        </w:rPr>
        <w:t xml:space="preserve">soạn thảo </w:t>
      </w:r>
      <w:r>
        <w:rPr>
          <w:color w:val="auto"/>
          <w:spacing w:val="-4"/>
          <w:sz w:val="28"/>
          <w:szCs w:val="28"/>
        </w:rPr>
        <w:t xml:space="preserve">đã </w:t>
      </w:r>
      <w:r w:rsidRPr="00C317C9">
        <w:rPr>
          <w:color w:val="auto"/>
          <w:spacing w:val="-4"/>
          <w:sz w:val="28"/>
          <w:szCs w:val="28"/>
        </w:rPr>
        <w:t>nghiêm túc thực hiện chỉ đạ</w:t>
      </w:r>
      <w:r>
        <w:rPr>
          <w:color w:val="auto"/>
          <w:spacing w:val="-4"/>
          <w:sz w:val="28"/>
          <w:szCs w:val="28"/>
        </w:rPr>
        <w:t>o của Ủy ban Thường vụ Quốc hội</w:t>
      </w:r>
      <w:r w:rsidR="00C84A14">
        <w:rPr>
          <w:color w:val="auto"/>
          <w:spacing w:val="-4"/>
          <w:sz w:val="28"/>
          <w:szCs w:val="28"/>
        </w:rPr>
        <w:t>,</w:t>
      </w:r>
      <w:r>
        <w:rPr>
          <w:color w:val="auto"/>
          <w:spacing w:val="-4"/>
          <w:sz w:val="28"/>
          <w:szCs w:val="28"/>
        </w:rPr>
        <w:t xml:space="preserve"> </w:t>
      </w:r>
      <w:r w:rsidRPr="00C317C9">
        <w:rPr>
          <w:color w:val="auto"/>
          <w:spacing w:val="-4"/>
          <w:sz w:val="28"/>
          <w:szCs w:val="28"/>
        </w:rPr>
        <w:t>tích cực nghiên cứu, tiếp thu nhiều ý kiến và giải trình hầu hết các ý kiến của đại biểu Quốc hội để chỉnh lý, hoàn thiện dự thảo Luật</w:t>
      </w:r>
      <w:r>
        <w:rPr>
          <w:rStyle w:val="FootnoteReference"/>
          <w:color w:val="auto"/>
          <w:spacing w:val="-4"/>
          <w:sz w:val="28"/>
          <w:szCs w:val="28"/>
        </w:rPr>
        <w:footnoteReference w:id="2"/>
      </w:r>
      <w:r>
        <w:rPr>
          <w:color w:val="auto"/>
          <w:spacing w:val="-4"/>
          <w:sz w:val="28"/>
          <w:szCs w:val="28"/>
        </w:rPr>
        <w:t>, với các</w:t>
      </w:r>
      <w:r w:rsidRPr="00C317C9">
        <w:rPr>
          <w:color w:val="auto"/>
          <w:spacing w:val="-4"/>
          <w:sz w:val="28"/>
          <w:szCs w:val="28"/>
        </w:rPr>
        <w:t xml:space="preserve"> nội dung quan trọng như về hình thức tố cáo, </w:t>
      </w:r>
      <w:r>
        <w:rPr>
          <w:color w:val="auto"/>
          <w:spacing w:val="-4"/>
          <w:sz w:val="28"/>
          <w:szCs w:val="28"/>
        </w:rPr>
        <w:t xml:space="preserve">tố cáo nặc danh, </w:t>
      </w:r>
      <w:r w:rsidRPr="00C317C9">
        <w:rPr>
          <w:color w:val="auto"/>
          <w:spacing w:val="-4"/>
          <w:sz w:val="28"/>
          <w:szCs w:val="28"/>
        </w:rPr>
        <w:t xml:space="preserve">bảo vệ người tố cáo, </w:t>
      </w:r>
      <w:r>
        <w:rPr>
          <w:color w:val="auto"/>
          <w:spacing w:val="-4"/>
          <w:sz w:val="28"/>
          <w:szCs w:val="28"/>
        </w:rPr>
        <w:lastRenderedPageBreak/>
        <w:t xml:space="preserve">rút tố cáo, khen thưởng, xử lý vi phạm và nhiều </w:t>
      </w:r>
      <w:r w:rsidRPr="00C317C9">
        <w:rPr>
          <w:color w:val="auto"/>
          <w:spacing w:val="-4"/>
          <w:sz w:val="28"/>
          <w:szCs w:val="28"/>
        </w:rPr>
        <w:t xml:space="preserve">nội dung khác. </w:t>
      </w:r>
      <w:r w:rsidRPr="00E233AB">
        <w:rPr>
          <w:color w:val="auto"/>
          <w:sz w:val="28"/>
          <w:szCs w:val="28"/>
        </w:rPr>
        <w:t xml:space="preserve">Ủy ban Pháp luật </w:t>
      </w:r>
      <w:r w:rsidRPr="00C317C9">
        <w:rPr>
          <w:color w:val="auto"/>
          <w:sz w:val="28"/>
          <w:szCs w:val="28"/>
        </w:rPr>
        <w:t>cơ bản</w:t>
      </w:r>
      <w:r w:rsidRPr="00C317C9">
        <w:rPr>
          <w:color w:val="auto"/>
          <w:sz w:val="28"/>
          <w:szCs w:val="28"/>
          <w:lang w:val="fr-FR"/>
        </w:rPr>
        <w:t xml:space="preserve"> tán thành nhiều nội dung trong dự thảo Luật </w:t>
      </w:r>
      <w:r w:rsidRPr="00C317C9">
        <w:rPr>
          <w:color w:val="auto"/>
          <w:sz w:val="28"/>
          <w:szCs w:val="28"/>
        </w:rPr>
        <w:t xml:space="preserve">nhằm cụ thể hóa quy định mới của Hiến pháp về quyền con người, quyền cơ bản của công dân, góp phần </w:t>
      </w:r>
      <w:r w:rsidRPr="00C317C9">
        <w:rPr>
          <w:bCs/>
          <w:iCs/>
          <w:color w:val="auto"/>
          <w:sz w:val="28"/>
          <w:szCs w:val="28"/>
        </w:rPr>
        <w:t xml:space="preserve">thực hiện có hiệu quả </w:t>
      </w:r>
      <w:r>
        <w:rPr>
          <w:bCs/>
          <w:iCs/>
          <w:color w:val="auto"/>
          <w:sz w:val="28"/>
          <w:szCs w:val="28"/>
        </w:rPr>
        <w:t>chủ trương</w:t>
      </w:r>
      <w:r w:rsidRPr="00C317C9">
        <w:rPr>
          <w:bCs/>
          <w:iCs/>
          <w:color w:val="auto"/>
          <w:sz w:val="28"/>
          <w:szCs w:val="28"/>
        </w:rPr>
        <w:t xml:space="preserve"> của Đảng về tăng cường và nâng cao hiệu quả công tác giải quyết tố cáo trong giai đoạn hiện nay</w:t>
      </w:r>
      <w:r w:rsidRPr="00C317C9">
        <w:rPr>
          <w:color w:val="auto"/>
          <w:spacing w:val="-4"/>
          <w:sz w:val="28"/>
          <w:szCs w:val="28"/>
        </w:rPr>
        <w:t xml:space="preserve">. </w:t>
      </w:r>
    </w:p>
    <w:p w:rsidR="005A0CD6" w:rsidRPr="00561189" w:rsidRDefault="005A0CD6" w:rsidP="00D576C7">
      <w:pPr>
        <w:spacing w:before="120" w:line="252" w:lineRule="auto"/>
        <w:rPr>
          <w:color w:val="auto"/>
          <w:sz w:val="28"/>
          <w:szCs w:val="28"/>
        </w:rPr>
      </w:pPr>
      <w:r w:rsidRPr="00561189">
        <w:rPr>
          <w:color w:val="auto"/>
          <w:sz w:val="28"/>
          <w:szCs w:val="28"/>
        </w:rPr>
        <w:t>Bên cạnh những điểm tích cực nêu trên, nhiều ý kiến cho rằng, đây là dự án Luật quan trọng, nhạy cảm, nhân dân đặc biệt quan tâm nên cần được nghiên cứu sâu thêm để giải quyết các vấn đề thực tiễn đang đặt ra. Một số nội dung đã được chỉnh lý, hoàn thiện thêm một bước nhưng tính khả thi chưa cao</w:t>
      </w:r>
      <w:r>
        <w:rPr>
          <w:color w:val="auto"/>
          <w:sz w:val="28"/>
          <w:szCs w:val="28"/>
        </w:rPr>
        <w:t>,</w:t>
      </w:r>
      <w:r w:rsidRPr="00561189">
        <w:rPr>
          <w:color w:val="auto"/>
          <w:sz w:val="28"/>
          <w:szCs w:val="28"/>
        </w:rPr>
        <w:t xml:space="preserve"> như chưa xác định</w:t>
      </w:r>
      <w:r>
        <w:rPr>
          <w:color w:val="auto"/>
          <w:sz w:val="28"/>
          <w:szCs w:val="28"/>
        </w:rPr>
        <w:t xml:space="preserve"> được cơ quan chủ trì thực hiện;</w:t>
      </w:r>
      <w:r w:rsidRPr="00561189">
        <w:rPr>
          <w:color w:val="auto"/>
          <w:sz w:val="28"/>
          <w:szCs w:val="28"/>
        </w:rPr>
        <w:t xml:space="preserve"> đối tượng, phạm vi, biện pháp bảo vệ người tố cáo trong dự thảo Luật là quá rộng và cũng còn khá chung chung, chồng ch</w:t>
      </w:r>
      <w:r>
        <w:rPr>
          <w:color w:val="auto"/>
          <w:sz w:val="28"/>
          <w:szCs w:val="28"/>
        </w:rPr>
        <w:t>éo, trùng lặp với lĩnh vực khác.</w:t>
      </w:r>
    </w:p>
    <w:p w:rsidR="005A0CD6" w:rsidRPr="00C317C9" w:rsidRDefault="005A0CD6" w:rsidP="005A0CD6">
      <w:pPr>
        <w:spacing w:before="120" w:line="252" w:lineRule="auto"/>
        <w:ind w:firstLine="601"/>
        <w:rPr>
          <w:color w:val="auto"/>
          <w:sz w:val="28"/>
          <w:szCs w:val="28"/>
          <w:lang w:val="fr-FR"/>
        </w:rPr>
      </w:pPr>
      <w:r w:rsidRPr="00E233AB">
        <w:rPr>
          <w:color w:val="auto"/>
          <w:sz w:val="28"/>
          <w:szCs w:val="28"/>
        </w:rPr>
        <w:t xml:space="preserve">Ủy ban Pháp luật </w:t>
      </w:r>
      <w:r>
        <w:rPr>
          <w:color w:val="auto"/>
          <w:sz w:val="28"/>
          <w:szCs w:val="28"/>
        </w:rPr>
        <w:t>đ</w:t>
      </w:r>
      <w:r w:rsidRPr="00C317C9">
        <w:rPr>
          <w:color w:val="auto"/>
          <w:sz w:val="28"/>
          <w:szCs w:val="28"/>
          <w:lang w:val="fr-FR"/>
        </w:rPr>
        <w:t>ề nghị C</w:t>
      </w:r>
      <w:r>
        <w:rPr>
          <w:color w:val="auto"/>
          <w:sz w:val="28"/>
          <w:szCs w:val="28"/>
          <w:lang w:val="fr-FR"/>
        </w:rPr>
        <w:t xml:space="preserve">hính phủ cần </w:t>
      </w:r>
      <w:r w:rsidRPr="00C317C9">
        <w:rPr>
          <w:color w:val="auto"/>
          <w:sz w:val="28"/>
          <w:szCs w:val="28"/>
          <w:lang w:val="fr-FR"/>
        </w:rPr>
        <w:t xml:space="preserve">rà soát các quy định của dự thảo Luật với quy định của các văn bản pháp luật có liên quan (Bộ luật Tố tụng hình sự, Luật Phòng, chống tham nhũng, </w:t>
      </w:r>
      <w:r>
        <w:rPr>
          <w:color w:val="auto"/>
          <w:sz w:val="28"/>
          <w:szCs w:val="28"/>
          <w:lang w:val="fr-FR"/>
        </w:rPr>
        <w:t xml:space="preserve">Luật Giao dịch điện tử, </w:t>
      </w:r>
      <w:r w:rsidRPr="00C317C9">
        <w:rPr>
          <w:color w:val="auto"/>
          <w:sz w:val="28"/>
          <w:szCs w:val="28"/>
          <w:lang w:val="fr-FR"/>
        </w:rPr>
        <w:t>Luật Cán bộ, công chức</w:t>
      </w:r>
      <w:r>
        <w:rPr>
          <w:color w:val="auto"/>
          <w:sz w:val="28"/>
          <w:szCs w:val="28"/>
          <w:lang w:val="fr-FR"/>
        </w:rPr>
        <w:t>, Luật Viên chức</w:t>
      </w:r>
      <w:r w:rsidRPr="00C317C9">
        <w:rPr>
          <w:color w:val="auto"/>
          <w:sz w:val="28"/>
          <w:szCs w:val="28"/>
          <w:lang w:val="fr-FR"/>
        </w:rPr>
        <w:t xml:space="preserve">…) để bảo đảm tính thống nhất của hệ thống pháp luật. Ngoài ra, trong dự thảo Luật có </w:t>
      </w:r>
      <w:r>
        <w:rPr>
          <w:color w:val="auto"/>
          <w:sz w:val="28"/>
          <w:szCs w:val="28"/>
          <w:lang w:val="fr-FR"/>
        </w:rPr>
        <w:t>một</w:t>
      </w:r>
      <w:r w:rsidRPr="00C317C9">
        <w:rPr>
          <w:color w:val="auto"/>
          <w:sz w:val="28"/>
          <w:szCs w:val="28"/>
          <w:lang w:val="fr-FR"/>
        </w:rPr>
        <w:t xml:space="preserve"> số nội dung giao Chính phủ quy định</w:t>
      </w:r>
      <w:r>
        <w:rPr>
          <w:color w:val="auto"/>
          <w:sz w:val="28"/>
          <w:szCs w:val="28"/>
          <w:lang w:val="fr-FR"/>
        </w:rPr>
        <w:t xml:space="preserve"> chi tiết</w:t>
      </w:r>
      <w:r w:rsidRPr="00C317C9">
        <w:rPr>
          <w:color w:val="auto"/>
          <w:sz w:val="28"/>
          <w:szCs w:val="28"/>
          <w:lang w:val="fr-FR"/>
        </w:rPr>
        <w:t xml:space="preserve">, đề nghị </w:t>
      </w:r>
      <w:r>
        <w:rPr>
          <w:color w:val="auto"/>
          <w:sz w:val="28"/>
          <w:szCs w:val="28"/>
          <w:lang w:val="fr-FR"/>
        </w:rPr>
        <w:t>cần</w:t>
      </w:r>
      <w:r w:rsidRPr="00C317C9">
        <w:rPr>
          <w:color w:val="auto"/>
          <w:sz w:val="28"/>
          <w:szCs w:val="28"/>
          <w:lang w:val="fr-FR"/>
        </w:rPr>
        <w:t xml:space="preserve"> chuẩn bị dự thảo Nghị định</w:t>
      </w:r>
      <w:r>
        <w:rPr>
          <w:color w:val="auto"/>
          <w:sz w:val="28"/>
          <w:szCs w:val="28"/>
          <w:lang w:val="fr-FR"/>
        </w:rPr>
        <w:t xml:space="preserve"> trình đồng thời</w:t>
      </w:r>
      <w:r w:rsidRPr="00C317C9">
        <w:rPr>
          <w:color w:val="auto"/>
          <w:sz w:val="28"/>
          <w:szCs w:val="28"/>
          <w:lang w:val="fr-FR"/>
        </w:rPr>
        <w:t xml:space="preserve"> với dự </w:t>
      </w:r>
      <w:r>
        <w:rPr>
          <w:color w:val="auto"/>
          <w:sz w:val="28"/>
          <w:szCs w:val="28"/>
          <w:lang w:val="fr-FR"/>
        </w:rPr>
        <w:t>án</w:t>
      </w:r>
      <w:r w:rsidRPr="00C317C9">
        <w:rPr>
          <w:color w:val="auto"/>
          <w:sz w:val="28"/>
          <w:szCs w:val="28"/>
          <w:lang w:val="fr-FR"/>
        </w:rPr>
        <w:t xml:space="preserve"> Luật </w:t>
      </w:r>
      <w:r>
        <w:rPr>
          <w:color w:val="auto"/>
          <w:sz w:val="28"/>
          <w:szCs w:val="28"/>
          <w:lang w:val="fr-FR"/>
        </w:rPr>
        <w:t>để</w:t>
      </w:r>
      <w:r w:rsidRPr="00C317C9">
        <w:rPr>
          <w:color w:val="auto"/>
          <w:sz w:val="28"/>
          <w:szCs w:val="28"/>
          <w:lang w:val="fr-FR"/>
        </w:rPr>
        <w:t xml:space="preserve"> </w:t>
      </w:r>
      <w:r>
        <w:rPr>
          <w:color w:val="auto"/>
          <w:sz w:val="28"/>
          <w:szCs w:val="28"/>
          <w:lang w:val="fr-FR"/>
        </w:rPr>
        <w:t>bảo đảm văn bản quy định chi tiết được ban hành có hiệu lực cùng thời điểm có hiệu lực của Luật</w:t>
      </w:r>
      <w:r w:rsidRPr="00C317C9">
        <w:rPr>
          <w:color w:val="auto"/>
          <w:sz w:val="28"/>
          <w:szCs w:val="28"/>
          <w:lang w:val="fr-FR"/>
        </w:rPr>
        <w:t>.</w:t>
      </w:r>
    </w:p>
    <w:p w:rsidR="005A0CD6" w:rsidRPr="004868C6" w:rsidRDefault="005A0CD6" w:rsidP="00D576C7">
      <w:pPr>
        <w:spacing w:before="120" w:line="252" w:lineRule="auto"/>
        <w:rPr>
          <w:color w:val="auto"/>
          <w:sz w:val="30"/>
          <w:szCs w:val="28"/>
          <w:lang w:val="pt-BR"/>
        </w:rPr>
      </w:pPr>
      <w:r w:rsidRPr="004868C6">
        <w:rPr>
          <w:rFonts w:ascii="Times New Roman Bold" w:hAnsi="Times New Roman Bold"/>
          <w:b/>
          <w:color w:val="auto"/>
          <w:sz w:val="26"/>
          <w:szCs w:val="28"/>
        </w:rPr>
        <w:t>II. VỀ NHỮNG VẤN ĐỀ CỤ THỂ</w:t>
      </w:r>
    </w:p>
    <w:p w:rsidR="005A0CD6" w:rsidRPr="00C317C9" w:rsidRDefault="005A0CD6" w:rsidP="00D576C7">
      <w:pPr>
        <w:spacing w:before="120" w:line="252" w:lineRule="auto"/>
        <w:rPr>
          <w:b/>
          <w:color w:val="auto"/>
          <w:sz w:val="28"/>
          <w:szCs w:val="28"/>
        </w:rPr>
      </w:pPr>
      <w:r>
        <w:rPr>
          <w:b/>
          <w:color w:val="auto"/>
          <w:sz w:val="28"/>
          <w:szCs w:val="28"/>
          <w:lang w:val="nb-NO"/>
        </w:rPr>
        <w:t>1</w:t>
      </w:r>
      <w:r w:rsidRPr="00C317C9">
        <w:rPr>
          <w:b/>
          <w:color w:val="auto"/>
          <w:sz w:val="28"/>
          <w:szCs w:val="28"/>
          <w:lang w:val="nb-NO"/>
        </w:rPr>
        <w:t xml:space="preserve">. </w:t>
      </w:r>
      <w:r w:rsidRPr="00C317C9">
        <w:rPr>
          <w:b/>
          <w:color w:val="auto"/>
          <w:sz w:val="28"/>
          <w:szCs w:val="28"/>
        </w:rPr>
        <w:t>Về h</w:t>
      </w:r>
      <w:r w:rsidRPr="00C317C9">
        <w:rPr>
          <w:b/>
          <w:color w:val="auto"/>
          <w:sz w:val="28"/>
          <w:szCs w:val="28"/>
          <w:lang w:val="vi-VN"/>
        </w:rPr>
        <w:t>ình thức tố cáo</w:t>
      </w:r>
      <w:r>
        <w:rPr>
          <w:b/>
          <w:color w:val="auto"/>
          <w:sz w:val="28"/>
          <w:szCs w:val="28"/>
        </w:rPr>
        <w:t>, tiếp nhận, xử lý ban đầu thông tin tố cáo</w:t>
      </w:r>
      <w:r w:rsidRPr="00C317C9">
        <w:rPr>
          <w:b/>
          <w:color w:val="auto"/>
          <w:sz w:val="28"/>
          <w:szCs w:val="28"/>
          <w:lang w:val="vi-VN"/>
        </w:rPr>
        <w:t xml:space="preserve"> </w:t>
      </w:r>
      <w:r w:rsidRPr="00C317C9">
        <w:rPr>
          <w:b/>
          <w:color w:val="auto"/>
          <w:sz w:val="28"/>
          <w:szCs w:val="28"/>
        </w:rPr>
        <w:t>(Điều 19</w:t>
      </w:r>
      <w:r>
        <w:rPr>
          <w:b/>
          <w:color w:val="auto"/>
          <w:sz w:val="28"/>
          <w:szCs w:val="28"/>
        </w:rPr>
        <w:t>, Điều 20</w:t>
      </w:r>
      <w:r w:rsidRPr="00C317C9">
        <w:rPr>
          <w:b/>
          <w:color w:val="auto"/>
          <w:sz w:val="28"/>
          <w:szCs w:val="28"/>
        </w:rPr>
        <w:t xml:space="preserve">) </w:t>
      </w:r>
    </w:p>
    <w:p w:rsidR="005A0CD6" w:rsidRPr="00C317C9" w:rsidRDefault="005A0CD6" w:rsidP="00D576C7">
      <w:pPr>
        <w:spacing w:before="120" w:line="252" w:lineRule="auto"/>
        <w:rPr>
          <w:bCs/>
          <w:color w:val="auto"/>
          <w:sz w:val="28"/>
          <w:szCs w:val="26"/>
        </w:rPr>
      </w:pPr>
      <w:r w:rsidRPr="00C317C9">
        <w:rPr>
          <w:color w:val="auto"/>
          <w:sz w:val="28"/>
          <w:szCs w:val="28"/>
        </w:rPr>
        <w:t xml:space="preserve">Dự thảo Luật được chỉnh lý theo hướng vẫn </w:t>
      </w:r>
      <w:r>
        <w:rPr>
          <w:color w:val="auto"/>
          <w:sz w:val="28"/>
          <w:szCs w:val="28"/>
        </w:rPr>
        <w:t xml:space="preserve">giữ </w:t>
      </w:r>
      <w:r w:rsidRPr="00C317C9">
        <w:rPr>
          <w:color w:val="auto"/>
          <w:sz w:val="28"/>
          <w:szCs w:val="28"/>
          <w:lang w:val="vi-VN"/>
        </w:rPr>
        <w:t xml:space="preserve">quy định 02 hình thức tố cáo </w:t>
      </w:r>
      <w:r>
        <w:rPr>
          <w:color w:val="auto"/>
          <w:sz w:val="28"/>
          <w:szCs w:val="28"/>
        </w:rPr>
        <w:t xml:space="preserve">như dự thảo Luật trình Quốc hội là tố cáo </w:t>
      </w:r>
      <w:r w:rsidRPr="00C317C9">
        <w:rPr>
          <w:color w:val="auto"/>
          <w:sz w:val="28"/>
          <w:szCs w:val="28"/>
          <w:lang w:val="vi-VN"/>
        </w:rPr>
        <w:t>bằng đơn và tố cáo trực tiếp</w:t>
      </w:r>
      <w:r w:rsidRPr="00C317C9">
        <w:rPr>
          <w:color w:val="auto"/>
          <w:sz w:val="28"/>
          <w:szCs w:val="28"/>
        </w:rPr>
        <w:t xml:space="preserve">, nhưng </w:t>
      </w:r>
      <w:r w:rsidRPr="00C317C9">
        <w:rPr>
          <w:color w:val="auto"/>
          <w:sz w:val="28"/>
          <w:szCs w:val="28"/>
          <w:lang w:val="vi-VN"/>
        </w:rPr>
        <w:t xml:space="preserve">có </w:t>
      </w:r>
      <w:r w:rsidRPr="00C317C9">
        <w:rPr>
          <w:color w:val="auto"/>
          <w:sz w:val="28"/>
          <w:szCs w:val="28"/>
        </w:rPr>
        <w:t xml:space="preserve">bổ sung </w:t>
      </w:r>
      <w:r w:rsidRPr="00C317C9">
        <w:rPr>
          <w:color w:val="auto"/>
          <w:sz w:val="28"/>
          <w:szCs w:val="28"/>
          <w:lang w:val="vi-VN"/>
        </w:rPr>
        <w:t xml:space="preserve">quy định riêng về việc </w:t>
      </w:r>
      <w:r w:rsidRPr="00C317C9">
        <w:rPr>
          <w:color w:val="auto"/>
          <w:sz w:val="28"/>
          <w:szCs w:val="28"/>
        </w:rPr>
        <w:t xml:space="preserve">tiếp nhận, </w:t>
      </w:r>
      <w:r w:rsidRPr="00C317C9">
        <w:rPr>
          <w:color w:val="auto"/>
          <w:sz w:val="28"/>
          <w:szCs w:val="28"/>
          <w:lang w:val="vi-VN"/>
        </w:rPr>
        <w:t xml:space="preserve">xử lý </w:t>
      </w:r>
      <w:r w:rsidRPr="00C317C9">
        <w:rPr>
          <w:color w:val="auto"/>
          <w:sz w:val="28"/>
          <w:szCs w:val="28"/>
        </w:rPr>
        <w:t xml:space="preserve">tố cáo </w:t>
      </w:r>
      <w:r w:rsidRPr="00C317C9">
        <w:rPr>
          <w:color w:val="auto"/>
          <w:sz w:val="28"/>
          <w:szCs w:val="28"/>
          <w:lang w:val="vi-VN"/>
        </w:rPr>
        <w:t xml:space="preserve">qua </w:t>
      </w:r>
      <w:r w:rsidRPr="00C317C9">
        <w:rPr>
          <w:color w:val="auto"/>
          <w:sz w:val="28"/>
          <w:szCs w:val="28"/>
        </w:rPr>
        <w:t xml:space="preserve">thư điện tử, fax, </w:t>
      </w:r>
      <w:r w:rsidRPr="00C317C9">
        <w:rPr>
          <w:color w:val="auto"/>
          <w:sz w:val="28"/>
          <w:szCs w:val="28"/>
          <w:lang w:val="vi-VN"/>
        </w:rPr>
        <w:t>điện thoại</w:t>
      </w:r>
      <w:r w:rsidRPr="00C317C9">
        <w:rPr>
          <w:color w:val="auto"/>
          <w:sz w:val="28"/>
          <w:szCs w:val="28"/>
        </w:rPr>
        <w:t xml:space="preserve">; </w:t>
      </w:r>
      <w:r w:rsidRPr="00C317C9">
        <w:rPr>
          <w:color w:val="auto"/>
          <w:sz w:val="28"/>
          <w:szCs w:val="28"/>
          <w:lang w:val="vi-VN"/>
        </w:rPr>
        <w:t>vào sổ theo dõi</w:t>
      </w:r>
      <w:r w:rsidRPr="00C317C9">
        <w:rPr>
          <w:color w:val="auto"/>
          <w:sz w:val="28"/>
          <w:szCs w:val="28"/>
        </w:rPr>
        <w:t>,</w:t>
      </w:r>
      <w:r w:rsidRPr="00C317C9">
        <w:rPr>
          <w:color w:val="auto"/>
          <w:sz w:val="28"/>
          <w:szCs w:val="28"/>
          <w:lang w:val="vi-VN"/>
        </w:rPr>
        <w:t xml:space="preserve"> phân loại</w:t>
      </w:r>
      <w:r>
        <w:rPr>
          <w:color w:val="auto"/>
          <w:sz w:val="28"/>
          <w:szCs w:val="28"/>
        </w:rPr>
        <w:t>, phục vụ cho công tác quản lý, kiểm tra, thanh tra</w:t>
      </w:r>
      <w:r w:rsidRPr="00C317C9">
        <w:rPr>
          <w:color w:val="auto"/>
          <w:sz w:val="28"/>
          <w:szCs w:val="28"/>
          <w:lang w:val="vi-VN"/>
        </w:rPr>
        <w:t>.</w:t>
      </w:r>
      <w:r w:rsidRPr="00C317C9">
        <w:rPr>
          <w:color w:val="auto"/>
          <w:sz w:val="28"/>
          <w:szCs w:val="28"/>
        </w:rPr>
        <w:t xml:space="preserve"> </w:t>
      </w:r>
    </w:p>
    <w:p w:rsidR="005A0CD6" w:rsidRPr="00084064" w:rsidRDefault="005A0CD6" w:rsidP="005A0CD6">
      <w:pPr>
        <w:pStyle w:val="FootnoteText"/>
        <w:spacing w:before="120" w:after="120" w:line="252" w:lineRule="auto"/>
        <w:rPr>
          <w:b/>
          <w:i/>
          <w:color w:val="auto"/>
          <w:spacing w:val="-2"/>
          <w:sz w:val="28"/>
          <w:szCs w:val="28"/>
        </w:rPr>
      </w:pPr>
      <w:r w:rsidRPr="00084064">
        <w:rPr>
          <w:color w:val="auto"/>
          <w:spacing w:val="-2"/>
          <w:sz w:val="28"/>
          <w:szCs w:val="28"/>
        </w:rPr>
        <w:t>Ủy ban Pháp luật nhận thấy, dự thảo Luật tuy có tiếp thu một phần ý kiến đại biểu Quốc hội nhưng</w:t>
      </w:r>
      <w:r>
        <w:rPr>
          <w:color w:val="auto"/>
          <w:spacing w:val="-2"/>
          <w:sz w:val="28"/>
          <w:szCs w:val="28"/>
        </w:rPr>
        <w:t xml:space="preserve"> còn chưa rõ ràng,</w:t>
      </w:r>
      <w:r w:rsidRPr="00084064">
        <w:rPr>
          <w:color w:val="auto"/>
          <w:spacing w:val="-2"/>
          <w:sz w:val="28"/>
          <w:szCs w:val="28"/>
        </w:rPr>
        <w:t xml:space="preserve"> vẫn chưa đáp ứng được mục đích, yêu cầu sửa đổi Luật; bởi vì, vấn đề căn bản, mấu chốt là </w:t>
      </w:r>
      <w:r>
        <w:rPr>
          <w:color w:val="auto"/>
          <w:spacing w:val="-2"/>
          <w:sz w:val="28"/>
          <w:szCs w:val="28"/>
        </w:rPr>
        <w:t xml:space="preserve">xác định được </w:t>
      </w:r>
      <w:r w:rsidRPr="00084064">
        <w:rPr>
          <w:color w:val="auto"/>
          <w:spacing w:val="-2"/>
          <w:sz w:val="28"/>
          <w:szCs w:val="28"/>
        </w:rPr>
        <w:t>nội dung tố cáo có căn cứ, chính xác, rõ địa chỉ, họ tên người tố cáo</w:t>
      </w:r>
      <w:r>
        <w:rPr>
          <w:color w:val="auto"/>
          <w:spacing w:val="-2"/>
          <w:sz w:val="28"/>
          <w:szCs w:val="28"/>
        </w:rPr>
        <w:t xml:space="preserve"> là điều kiện đủ để thụ lý giải quyết</w:t>
      </w:r>
      <w:r w:rsidRPr="00084064">
        <w:rPr>
          <w:color w:val="auto"/>
          <w:spacing w:val="-2"/>
          <w:sz w:val="28"/>
          <w:szCs w:val="28"/>
        </w:rPr>
        <w:t>.</w:t>
      </w:r>
      <w:r>
        <w:rPr>
          <w:color w:val="auto"/>
          <w:spacing w:val="-2"/>
          <w:sz w:val="28"/>
          <w:szCs w:val="28"/>
        </w:rPr>
        <w:t xml:space="preserve"> V</w:t>
      </w:r>
      <w:r w:rsidRPr="00084064">
        <w:rPr>
          <w:color w:val="auto"/>
          <w:spacing w:val="-2"/>
          <w:sz w:val="28"/>
          <w:szCs w:val="28"/>
        </w:rPr>
        <w:t xml:space="preserve">iệc tố cáo qua thư điện tử, fax, điện thoại thực chất cũng chỉ là các phương thức thể hiện khác nhau của 2 hình thức tố cáo mà dự thảo Luật đã quy định là tố cáo bằng đơn và tố cáo trực tiếp. Vì vậy, đề nghị dự thảo Luật chỉnh lý theo hướng: quy định hình thức </w:t>
      </w:r>
      <w:r w:rsidRPr="009969CB">
        <w:rPr>
          <w:i/>
          <w:color w:val="auto"/>
          <w:spacing w:val="-2"/>
          <w:sz w:val="28"/>
          <w:szCs w:val="28"/>
        </w:rPr>
        <w:t>tố cáo bằng đơn</w:t>
      </w:r>
      <w:r w:rsidRPr="00084064">
        <w:rPr>
          <w:color w:val="auto"/>
          <w:spacing w:val="-2"/>
          <w:sz w:val="28"/>
          <w:szCs w:val="28"/>
        </w:rPr>
        <w:t xml:space="preserve"> và </w:t>
      </w:r>
      <w:r>
        <w:rPr>
          <w:color w:val="auto"/>
          <w:spacing w:val="-2"/>
          <w:sz w:val="28"/>
          <w:szCs w:val="28"/>
        </w:rPr>
        <w:t xml:space="preserve">các </w:t>
      </w:r>
      <w:r w:rsidRPr="009969CB">
        <w:rPr>
          <w:i/>
          <w:color w:val="auto"/>
          <w:spacing w:val="-2"/>
          <w:sz w:val="28"/>
          <w:szCs w:val="28"/>
        </w:rPr>
        <w:t xml:space="preserve">hình thức tố cáo khác </w:t>
      </w:r>
      <w:r>
        <w:rPr>
          <w:i/>
          <w:color w:val="auto"/>
          <w:spacing w:val="-2"/>
          <w:sz w:val="28"/>
          <w:szCs w:val="28"/>
        </w:rPr>
        <w:t xml:space="preserve">theo </w:t>
      </w:r>
      <w:r w:rsidRPr="009969CB">
        <w:rPr>
          <w:i/>
          <w:color w:val="auto"/>
          <w:spacing w:val="-2"/>
          <w:sz w:val="28"/>
          <w:szCs w:val="28"/>
        </w:rPr>
        <w:t xml:space="preserve"> quy định</w:t>
      </w:r>
      <w:r>
        <w:rPr>
          <w:b/>
          <w:i/>
          <w:color w:val="auto"/>
          <w:spacing w:val="-2"/>
          <w:sz w:val="28"/>
          <w:szCs w:val="28"/>
        </w:rPr>
        <w:t xml:space="preserve"> </w:t>
      </w:r>
      <w:r w:rsidRPr="00CF6907">
        <w:rPr>
          <w:i/>
          <w:color w:val="auto"/>
          <w:spacing w:val="-2"/>
          <w:sz w:val="28"/>
          <w:szCs w:val="28"/>
        </w:rPr>
        <w:t>của pháp luật</w:t>
      </w:r>
      <w:r>
        <w:rPr>
          <w:b/>
          <w:i/>
          <w:color w:val="auto"/>
          <w:spacing w:val="-2"/>
          <w:sz w:val="28"/>
          <w:szCs w:val="28"/>
        </w:rPr>
        <w:t xml:space="preserve"> </w:t>
      </w:r>
      <w:r w:rsidRPr="009969CB">
        <w:rPr>
          <w:color w:val="auto"/>
          <w:spacing w:val="-2"/>
          <w:sz w:val="28"/>
          <w:szCs w:val="28"/>
        </w:rPr>
        <w:t>(hình thức khác có thể bao gồm thư điện tử, fax, điện thoại</w:t>
      </w:r>
      <w:r>
        <w:rPr>
          <w:color w:val="auto"/>
          <w:spacing w:val="-2"/>
          <w:sz w:val="28"/>
          <w:szCs w:val="28"/>
        </w:rPr>
        <w:t xml:space="preserve"> mà các luật khác đã quy định</w:t>
      </w:r>
      <w:r w:rsidRPr="009969CB">
        <w:rPr>
          <w:color w:val="auto"/>
          <w:spacing w:val="-2"/>
          <w:sz w:val="28"/>
          <w:szCs w:val="28"/>
        </w:rPr>
        <w:t>).</w:t>
      </w:r>
    </w:p>
    <w:p w:rsidR="005A0CD6" w:rsidRPr="00C317C9" w:rsidRDefault="005A0CD6" w:rsidP="005A0CD6">
      <w:pPr>
        <w:pStyle w:val="FootnoteText"/>
        <w:spacing w:before="120" w:after="120" w:line="252" w:lineRule="auto"/>
        <w:rPr>
          <w:color w:val="auto"/>
          <w:sz w:val="28"/>
          <w:szCs w:val="28"/>
        </w:rPr>
      </w:pPr>
      <w:r>
        <w:rPr>
          <w:color w:val="auto"/>
          <w:spacing w:val="-2"/>
          <w:sz w:val="28"/>
          <w:szCs w:val="28"/>
        </w:rPr>
        <w:t xml:space="preserve">Ngoài ra, có nhiều ý kiến cho rằng, để tạo điều kiện thuận lợi cho người tố cáo và bảo đảm tính </w:t>
      </w:r>
      <w:r w:rsidRPr="00BC7DD4">
        <w:rPr>
          <w:color w:val="auto"/>
          <w:spacing w:val="-2"/>
          <w:sz w:val="28"/>
          <w:szCs w:val="28"/>
        </w:rPr>
        <w:t xml:space="preserve">thống nhất của hệ thống pháp luật (tương tự quy định của Bộ luật Dân sự, Luật </w:t>
      </w:r>
      <w:r w:rsidR="00A14CA8">
        <w:rPr>
          <w:color w:val="auto"/>
          <w:spacing w:val="-2"/>
          <w:sz w:val="28"/>
          <w:szCs w:val="28"/>
        </w:rPr>
        <w:t>P</w:t>
      </w:r>
      <w:r w:rsidRPr="00BC7DD4">
        <w:rPr>
          <w:color w:val="auto"/>
          <w:spacing w:val="-2"/>
          <w:sz w:val="28"/>
          <w:szCs w:val="28"/>
        </w:rPr>
        <w:t>hòng</w:t>
      </w:r>
      <w:r w:rsidR="00A14CA8">
        <w:rPr>
          <w:color w:val="auto"/>
          <w:spacing w:val="-2"/>
          <w:sz w:val="28"/>
          <w:szCs w:val="28"/>
        </w:rPr>
        <w:t>,</w:t>
      </w:r>
      <w:r w:rsidRPr="00BC7DD4">
        <w:rPr>
          <w:color w:val="auto"/>
          <w:spacing w:val="-2"/>
          <w:sz w:val="28"/>
          <w:szCs w:val="28"/>
        </w:rPr>
        <w:t xml:space="preserve"> chống tham nhũng…)</w:t>
      </w:r>
      <w:r>
        <w:rPr>
          <w:color w:val="auto"/>
          <w:spacing w:val="-2"/>
          <w:sz w:val="28"/>
          <w:szCs w:val="28"/>
        </w:rPr>
        <w:t xml:space="preserve"> cần </w:t>
      </w:r>
      <w:r w:rsidRPr="00BC7DD4">
        <w:rPr>
          <w:color w:val="auto"/>
          <w:spacing w:val="-2"/>
          <w:sz w:val="28"/>
          <w:szCs w:val="28"/>
        </w:rPr>
        <w:t xml:space="preserve">quy định 02 hình thức là </w:t>
      </w:r>
      <w:r w:rsidRPr="009969CB">
        <w:rPr>
          <w:i/>
          <w:color w:val="auto"/>
          <w:spacing w:val="-2"/>
          <w:sz w:val="28"/>
          <w:szCs w:val="28"/>
        </w:rPr>
        <w:t>tố cáo bằng văn bản</w:t>
      </w:r>
      <w:r w:rsidRPr="00BC7DD4">
        <w:rPr>
          <w:color w:val="auto"/>
          <w:spacing w:val="-2"/>
          <w:sz w:val="28"/>
          <w:szCs w:val="28"/>
        </w:rPr>
        <w:t xml:space="preserve"> (thay cho </w:t>
      </w:r>
      <w:r>
        <w:rPr>
          <w:color w:val="auto"/>
          <w:spacing w:val="-2"/>
          <w:sz w:val="28"/>
          <w:szCs w:val="28"/>
        </w:rPr>
        <w:t xml:space="preserve">tố cáo </w:t>
      </w:r>
      <w:r w:rsidRPr="00BC7DD4">
        <w:rPr>
          <w:color w:val="auto"/>
          <w:spacing w:val="-2"/>
          <w:sz w:val="28"/>
          <w:szCs w:val="28"/>
        </w:rPr>
        <w:t xml:space="preserve">bằng đơn) và </w:t>
      </w:r>
      <w:r w:rsidRPr="009969CB">
        <w:rPr>
          <w:i/>
          <w:color w:val="auto"/>
          <w:spacing w:val="-2"/>
          <w:sz w:val="28"/>
          <w:szCs w:val="28"/>
        </w:rPr>
        <w:t>tố cáo bằng lời nói</w:t>
      </w:r>
      <w:r w:rsidRPr="00BC7DD4">
        <w:rPr>
          <w:color w:val="auto"/>
          <w:spacing w:val="-2"/>
          <w:sz w:val="28"/>
          <w:szCs w:val="28"/>
        </w:rPr>
        <w:t xml:space="preserve"> (thay cho </w:t>
      </w:r>
      <w:r>
        <w:rPr>
          <w:color w:val="auto"/>
          <w:spacing w:val="-2"/>
          <w:sz w:val="28"/>
          <w:szCs w:val="28"/>
        </w:rPr>
        <w:t xml:space="preserve">tố cáo </w:t>
      </w:r>
      <w:r w:rsidRPr="00BC7DD4">
        <w:rPr>
          <w:color w:val="auto"/>
          <w:spacing w:val="-2"/>
          <w:sz w:val="28"/>
          <w:szCs w:val="28"/>
        </w:rPr>
        <w:t xml:space="preserve">trực tiếp); trong đó, hình thức </w:t>
      </w:r>
      <w:r w:rsidRPr="009969CB">
        <w:rPr>
          <w:i/>
          <w:color w:val="auto"/>
          <w:spacing w:val="-2"/>
          <w:sz w:val="28"/>
          <w:szCs w:val="28"/>
        </w:rPr>
        <w:t>tố cáo bằng văn bản</w:t>
      </w:r>
      <w:r w:rsidRPr="00BC7DD4">
        <w:rPr>
          <w:color w:val="auto"/>
          <w:spacing w:val="-2"/>
          <w:sz w:val="28"/>
          <w:szCs w:val="28"/>
        </w:rPr>
        <w:t xml:space="preserve"> gồm có: </w:t>
      </w:r>
      <w:r w:rsidRPr="009969CB">
        <w:rPr>
          <w:i/>
          <w:color w:val="auto"/>
          <w:spacing w:val="-2"/>
          <w:sz w:val="28"/>
          <w:szCs w:val="28"/>
        </w:rPr>
        <w:t>đơn bằng</w:t>
      </w:r>
      <w:r w:rsidRPr="009969CB">
        <w:rPr>
          <w:i/>
          <w:color w:val="auto"/>
          <w:sz w:val="28"/>
          <w:szCs w:val="28"/>
        </w:rPr>
        <w:t xml:space="preserve"> giấy, thư điện </w:t>
      </w:r>
      <w:r w:rsidRPr="009969CB">
        <w:rPr>
          <w:i/>
          <w:color w:val="auto"/>
          <w:sz w:val="28"/>
          <w:szCs w:val="28"/>
        </w:rPr>
        <w:lastRenderedPageBreak/>
        <w:t>tử hoặc bản fax</w:t>
      </w:r>
      <w:r w:rsidRPr="00C317C9">
        <w:rPr>
          <w:color w:val="auto"/>
          <w:sz w:val="28"/>
          <w:szCs w:val="28"/>
        </w:rPr>
        <w:t xml:space="preserve">; hình thức </w:t>
      </w:r>
      <w:r w:rsidRPr="009969CB">
        <w:rPr>
          <w:i/>
          <w:color w:val="auto"/>
          <w:sz w:val="28"/>
          <w:szCs w:val="28"/>
        </w:rPr>
        <w:t>tố cáo bằng lời nói</w:t>
      </w:r>
      <w:r w:rsidRPr="00C317C9">
        <w:rPr>
          <w:color w:val="auto"/>
          <w:sz w:val="28"/>
          <w:szCs w:val="28"/>
        </w:rPr>
        <w:t xml:space="preserve"> gồm có: </w:t>
      </w:r>
      <w:r w:rsidRPr="009969CB">
        <w:rPr>
          <w:i/>
          <w:color w:val="auto"/>
          <w:sz w:val="28"/>
          <w:szCs w:val="28"/>
        </w:rPr>
        <w:t>trình bày trực tiếp tại cơ quan có thẩm quyền hoặc trình bày qua điện thoại</w:t>
      </w:r>
      <w:r w:rsidRPr="00C317C9">
        <w:rPr>
          <w:color w:val="auto"/>
          <w:sz w:val="28"/>
          <w:szCs w:val="28"/>
        </w:rPr>
        <w:t xml:space="preserve">. </w:t>
      </w:r>
    </w:p>
    <w:p w:rsidR="005A0CD6" w:rsidRPr="00C317C9" w:rsidRDefault="005A0CD6" w:rsidP="005A0CD6">
      <w:pPr>
        <w:spacing w:before="120" w:line="252" w:lineRule="auto"/>
        <w:ind w:firstLine="601"/>
        <w:rPr>
          <w:b/>
          <w:bCs/>
          <w:color w:val="auto"/>
          <w:sz w:val="28"/>
          <w:szCs w:val="28"/>
          <w:lang w:val="nb-NO"/>
        </w:rPr>
      </w:pPr>
      <w:r>
        <w:rPr>
          <w:b/>
          <w:color w:val="auto"/>
          <w:sz w:val="28"/>
          <w:szCs w:val="28"/>
        </w:rPr>
        <w:t>2</w:t>
      </w:r>
      <w:r w:rsidRPr="00C317C9">
        <w:rPr>
          <w:b/>
          <w:color w:val="auto"/>
          <w:sz w:val="28"/>
          <w:szCs w:val="28"/>
        </w:rPr>
        <w:t>.</w:t>
      </w:r>
      <w:r w:rsidRPr="00C317C9">
        <w:rPr>
          <w:b/>
          <w:color w:val="auto"/>
          <w:sz w:val="28"/>
          <w:szCs w:val="28"/>
          <w:lang w:val="vi-VN"/>
        </w:rPr>
        <w:t xml:space="preserve"> </w:t>
      </w:r>
      <w:r w:rsidRPr="00C317C9">
        <w:rPr>
          <w:b/>
          <w:bCs/>
          <w:color w:val="auto"/>
          <w:sz w:val="28"/>
          <w:szCs w:val="28"/>
          <w:lang w:val="nb-NO"/>
        </w:rPr>
        <w:t>Về trình tự, thủ tục giải quyết tố cáo (Điều 22, Điều 26)</w:t>
      </w:r>
    </w:p>
    <w:p w:rsidR="005A0CD6" w:rsidRPr="00163C70" w:rsidRDefault="005A0CD6" w:rsidP="001914A5">
      <w:pPr>
        <w:spacing w:before="120" w:line="252" w:lineRule="auto"/>
        <w:ind w:firstLine="601"/>
        <w:rPr>
          <w:color w:val="auto"/>
          <w:spacing w:val="-4"/>
          <w:sz w:val="28"/>
          <w:szCs w:val="28"/>
        </w:rPr>
      </w:pPr>
      <w:r w:rsidRPr="00163C70">
        <w:rPr>
          <w:i/>
          <w:color w:val="auto"/>
          <w:spacing w:val="-4"/>
          <w:sz w:val="28"/>
          <w:szCs w:val="28"/>
        </w:rPr>
        <w:t>- Về thời hạn giải quyết tố cáo (Điều 22):</w:t>
      </w:r>
      <w:r w:rsidRPr="00163C70">
        <w:rPr>
          <w:color w:val="auto"/>
          <w:spacing w:val="-4"/>
          <w:sz w:val="28"/>
          <w:szCs w:val="28"/>
        </w:rPr>
        <w:t xml:space="preserve"> Ủy ban Pháp luật cơ bản nhất trí với quy định của dự thảo Luật đã được chỉnh lý, sửa đổi theo hướng giảm thời hạn giải quyết tố cáo so với hiện hành. Quy định như vậy sẽ đáp ứng được yêu cầu về cải cách thủ tục hành chính, việc ứng dụng công nghệ thông tin trong giai đoạn hiện nay. Có ý kiến đề nghị cần tiếp tục nghiên cứu rút ngắn hơn nữa thời hạn giải quyết đối với những vụ việc rõ ràng, đơn giản trong một số thời điểm nhạy cảm (trong dịp bầu cử, bổ nhiệm, đề bạt các chức danh…) nhằm bảo vệ kịp thời quyền và lợi ích hợp pháp của người bị tố cáo và cá nhân, tổ chức có liên quan. </w:t>
      </w:r>
    </w:p>
    <w:p w:rsidR="005A0CD6" w:rsidRDefault="005A0CD6" w:rsidP="001914A5">
      <w:pPr>
        <w:spacing w:before="120" w:line="252" w:lineRule="auto"/>
        <w:ind w:firstLine="601"/>
        <w:rPr>
          <w:color w:val="auto"/>
          <w:sz w:val="28"/>
          <w:szCs w:val="28"/>
          <w:lang w:val="nb-NO"/>
        </w:rPr>
      </w:pPr>
      <w:r w:rsidRPr="00C317C9">
        <w:rPr>
          <w:bCs/>
          <w:i/>
          <w:color w:val="auto"/>
          <w:sz w:val="28"/>
          <w:szCs w:val="28"/>
          <w:lang w:val="nb-NO"/>
        </w:rPr>
        <w:t xml:space="preserve">- Về quy định </w:t>
      </w:r>
      <w:r w:rsidRPr="00C317C9">
        <w:rPr>
          <w:i/>
          <w:color w:val="auto"/>
          <w:sz w:val="28"/>
          <w:szCs w:val="28"/>
        </w:rPr>
        <w:t>“</w:t>
      </w:r>
      <w:r w:rsidRPr="00C317C9">
        <w:rPr>
          <w:bCs/>
          <w:i/>
          <w:color w:val="auto"/>
          <w:sz w:val="28"/>
          <w:szCs w:val="28"/>
          <w:lang w:val="nb-NO"/>
        </w:rPr>
        <w:t>rút tố cáo” (Điều 26):</w:t>
      </w:r>
      <w:r w:rsidRPr="00C317C9">
        <w:rPr>
          <w:bCs/>
          <w:color w:val="auto"/>
          <w:sz w:val="28"/>
          <w:szCs w:val="28"/>
          <w:lang w:val="nb-NO"/>
        </w:rPr>
        <w:t xml:space="preserve"> </w:t>
      </w:r>
      <w:r w:rsidRPr="00E233AB">
        <w:rPr>
          <w:color w:val="auto"/>
          <w:sz w:val="28"/>
          <w:szCs w:val="28"/>
        </w:rPr>
        <w:t xml:space="preserve">Ủy ban Pháp luật </w:t>
      </w:r>
      <w:r w:rsidRPr="00C317C9">
        <w:rPr>
          <w:bCs/>
          <w:color w:val="auto"/>
          <w:sz w:val="28"/>
          <w:szCs w:val="28"/>
          <w:lang w:val="nb-NO"/>
        </w:rPr>
        <w:t xml:space="preserve">cơ bản nhất trí </w:t>
      </w:r>
      <w:r>
        <w:rPr>
          <w:bCs/>
          <w:color w:val="auto"/>
          <w:sz w:val="28"/>
          <w:szCs w:val="28"/>
          <w:lang w:val="nb-NO"/>
        </w:rPr>
        <w:t xml:space="preserve">với </w:t>
      </w:r>
      <w:r w:rsidRPr="00C317C9">
        <w:rPr>
          <w:bCs/>
          <w:color w:val="auto"/>
          <w:sz w:val="28"/>
          <w:szCs w:val="28"/>
          <w:lang w:val="nb-NO"/>
        </w:rPr>
        <w:t xml:space="preserve">dự thảo Luật </w:t>
      </w:r>
      <w:r>
        <w:rPr>
          <w:bCs/>
          <w:color w:val="auto"/>
          <w:sz w:val="28"/>
          <w:szCs w:val="28"/>
          <w:lang w:val="nb-NO"/>
        </w:rPr>
        <w:t>quy</w:t>
      </w:r>
      <w:r w:rsidRPr="00C317C9">
        <w:rPr>
          <w:bCs/>
          <w:color w:val="auto"/>
          <w:sz w:val="28"/>
          <w:szCs w:val="28"/>
          <w:lang w:val="nb-NO"/>
        </w:rPr>
        <w:t xml:space="preserve"> định theo hướng n</w:t>
      </w:r>
      <w:r w:rsidRPr="00C317C9">
        <w:rPr>
          <w:color w:val="auto"/>
          <w:sz w:val="28"/>
          <w:szCs w:val="28"/>
          <w:lang w:val="vi-VN"/>
        </w:rPr>
        <w:t>gười tố cáo có thể rút toàn bộ nội dung tố cáo hoặc một phần nội dung tố cáo</w:t>
      </w:r>
      <w:r>
        <w:rPr>
          <w:color w:val="auto"/>
          <w:sz w:val="28"/>
          <w:szCs w:val="28"/>
        </w:rPr>
        <w:t>. V</w:t>
      </w:r>
      <w:r w:rsidRPr="00C40AF9">
        <w:rPr>
          <w:color w:val="auto"/>
          <w:sz w:val="28"/>
          <w:szCs w:val="28"/>
          <w:lang w:val="nb-NO"/>
        </w:rPr>
        <w:t xml:space="preserve">iệc rút tố cáo </w:t>
      </w:r>
      <w:r>
        <w:rPr>
          <w:color w:val="auto"/>
          <w:sz w:val="28"/>
          <w:szCs w:val="28"/>
          <w:lang w:val="nb-NO"/>
        </w:rPr>
        <w:t>có thể</w:t>
      </w:r>
      <w:r w:rsidRPr="00C40AF9">
        <w:rPr>
          <w:color w:val="auto"/>
          <w:sz w:val="28"/>
          <w:szCs w:val="28"/>
          <w:lang w:val="nb-NO"/>
        </w:rPr>
        <w:t xml:space="preserve"> chấm dứt trách nhiệm của người tố cáo nhưng không chấm dứt trách nhiệm bảo vệ pháp luật của người giải quyết tố cáo</w:t>
      </w:r>
      <w:r>
        <w:rPr>
          <w:color w:val="auto"/>
          <w:sz w:val="28"/>
          <w:szCs w:val="28"/>
          <w:lang w:val="nb-NO"/>
        </w:rPr>
        <w:t xml:space="preserve">. Tuy nhiên, cần tiếp tục rà soát, chỉnh lý, hoàn thiện thêm khắc phục sơ hở dễ bị </w:t>
      </w:r>
      <w:r w:rsidRPr="00C52A30">
        <w:rPr>
          <w:color w:val="auto"/>
          <w:sz w:val="28"/>
          <w:szCs w:val="28"/>
          <w:lang w:val="nb-NO"/>
        </w:rPr>
        <w:t>lạm dụng rút đơn tố cáo do bị dụ dỗ, mu</w:t>
      </w:r>
      <w:r>
        <w:rPr>
          <w:color w:val="auto"/>
          <w:sz w:val="28"/>
          <w:szCs w:val="28"/>
          <w:lang w:val="nb-NO"/>
        </w:rPr>
        <w:t xml:space="preserve">a chuộc. </w:t>
      </w:r>
    </w:p>
    <w:p w:rsidR="005A0CD6" w:rsidRDefault="005A0CD6" w:rsidP="001914A5">
      <w:pPr>
        <w:spacing w:before="120" w:line="252" w:lineRule="auto"/>
        <w:rPr>
          <w:b/>
          <w:color w:val="auto"/>
          <w:sz w:val="28"/>
          <w:szCs w:val="28"/>
          <w:lang w:val="nb-NO"/>
        </w:rPr>
      </w:pPr>
      <w:r>
        <w:rPr>
          <w:b/>
          <w:color w:val="auto"/>
          <w:sz w:val="28"/>
          <w:szCs w:val="28"/>
          <w:lang w:val="nb-NO"/>
        </w:rPr>
        <w:t>3</w:t>
      </w:r>
      <w:r w:rsidRPr="00C317C9">
        <w:rPr>
          <w:b/>
          <w:color w:val="auto"/>
          <w:sz w:val="28"/>
          <w:szCs w:val="28"/>
          <w:lang w:val="nb-NO"/>
        </w:rPr>
        <w:t>. Về bảo vệ người tố cáo (Chương VI)</w:t>
      </w:r>
    </w:p>
    <w:p w:rsidR="005A0CD6" w:rsidRDefault="005A0CD6" w:rsidP="001914A5">
      <w:pPr>
        <w:spacing w:before="120" w:line="252" w:lineRule="auto"/>
        <w:rPr>
          <w:color w:val="auto"/>
          <w:spacing w:val="-2"/>
          <w:sz w:val="28"/>
          <w:szCs w:val="28"/>
        </w:rPr>
      </w:pPr>
      <w:r>
        <w:rPr>
          <w:color w:val="auto"/>
          <w:spacing w:val="-2"/>
          <w:sz w:val="28"/>
          <w:szCs w:val="28"/>
        </w:rPr>
        <w:t xml:space="preserve">Cơ quan soạn thảo đã </w:t>
      </w:r>
      <w:r w:rsidRPr="00ED62CD">
        <w:rPr>
          <w:color w:val="auto"/>
          <w:spacing w:val="-2"/>
          <w:sz w:val="28"/>
          <w:szCs w:val="28"/>
        </w:rPr>
        <w:t xml:space="preserve">bổ sung nhiều nội dung vào Chương VI của dự thảo Luật </w:t>
      </w:r>
      <w:r w:rsidRPr="00ED62CD">
        <w:rPr>
          <w:color w:val="auto"/>
          <w:spacing w:val="-2"/>
          <w:sz w:val="28"/>
          <w:szCs w:val="28"/>
          <w:lang w:val="nb-NO"/>
        </w:rPr>
        <w:t xml:space="preserve">(từ Điều 41 đến Điều 58), quy định cụ thể về trình tự, thủ tục bảo vệ; các biện pháp bảo vệ người tố cáo, </w:t>
      </w:r>
      <w:r w:rsidRPr="00ED62CD">
        <w:rPr>
          <w:color w:val="auto"/>
          <w:spacing w:val="-2"/>
          <w:sz w:val="28"/>
          <w:szCs w:val="28"/>
        </w:rPr>
        <w:t xml:space="preserve">người cung cấp thông tin. Việc quy định như vậy nhằm thể chế hóa Chỉ thị số 50-CT/TW ngày 15/12/2015 </w:t>
      </w:r>
      <w:r w:rsidRPr="00ED62CD">
        <w:rPr>
          <w:color w:val="auto"/>
          <w:spacing w:val="-2"/>
          <w:sz w:val="28"/>
          <w:szCs w:val="28"/>
          <w:lang w:val="de-DE"/>
        </w:rPr>
        <w:t>của Bộ Chính trị</w:t>
      </w:r>
      <w:r w:rsidRPr="00ED62CD">
        <w:rPr>
          <w:color w:val="auto"/>
          <w:spacing w:val="-2"/>
          <w:sz w:val="28"/>
          <w:szCs w:val="28"/>
        </w:rPr>
        <w:t xml:space="preserve">. </w:t>
      </w:r>
    </w:p>
    <w:p w:rsidR="005A0CD6" w:rsidRDefault="005A0CD6" w:rsidP="004D7B34">
      <w:pPr>
        <w:spacing w:before="120" w:line="252" w:lineRule="auto"/>
        <w:rPr>
          <w:color w:val="auto"/>
          <w:sz w:val="28"/>
          <w:szCs w:val="28"/>
        </w:rPr>
      </w:pPr>
      <w:r w:rsidRPr="00D1609E">
        <w:rPr>
          <w:color w:val="auto"/>
          <w:sz w:val="28"/>
          <w:szCs w:val="28"/>
        </w:rPr>
        <w:t>Ủy ban Pháp luật cho rằng,</w:t>
      </w:r>
      <w:r>
        <w:rPr>
          <w:color w:val="auto"/>
          <w:sz w:val="28"/>
          <w:szCs w:val="28"/>
        </w:rPr>
        <w:t xml:space="preserve"> quy định của dự thảo Luật có phạm vi quá rộng, cả về lĩnh vực, biện pháp và đối tượng được bảo vệ, không phù hợp với điều kiện kinh tế-xã hội ở nước ta, không có tính khả thi, do đó</w:t>
      </w:r>
      <w:r w:rsidRPr="00C317C9">
        <w:rPr>
          <w:color w:val="auto"/>
          <w:sz w:val="28"/>
          <w:szCs w:val="28"/>
        </w:rPr>
        <w:t xml:space="preserve"> cần rà soát về </w:t>
      </w:r>
      <w:r>
        <w:rPr>
          <w:color w:val="auto"/>
          <w:sz w:val="28"/>
          <w:szCs w:val="28"/>
        </w:rPr>
        <w:t>các nội dung nêu trên nhằm</w:t>
      </w:r>
      <w:r w:rsidRPr="00C317C9">
        <w:rPr>
          <w:color w:val="auto"/>
          <w:sz w:val="28"/>
          <w:szCs w:val="28"/>
        </w:rPr>
        <w:t xml:space="preserve"> khắc phục tình trạng quy định chồng chéo, trùng lặp </w:t>
      </w:r>
      <w:r>
        <w:rPr>
          <w:color w:val="auto"/>
          <w:sz w:val="28"/>
          <w:szCs w:val="28"/>
        </w:rPr>
        <w:t>với</w:t>
      </w:r>
      <w:r w:rsidRPr="00C317C9">
        <w:rPr>
          <w:color w:val="auto"/>
          <w:sz w:val="28"/>
          <w:szCs w:val="28"/>
        </w:rPr>
        <w:t xml:space="preserve"> quy định của pháp luật </w:t>
      </w:r>
      <w:r>
        <w:rPr>
          <w:color w:val="auto"/>
          <w:sz w:val="28"/>
          <w:szCs w:val="28"/>
        </w:rPr>
        <w:t>về dân sự, hình sự, hành chính…</w:t>
      </w:r>
      <w:r w:rsidRPr="00C317C9">
        <w:rPr>
          <w:color w:val="auto"/>
          <w:sz w:val="28"/>
          <w:szCs w:val="28"/>
        </w:rPr>
        <w:t xml:space="preserve"> </w:t>
      </w:r>
      <w:r>
        <w:rPr>
          <w:color w:val="auto"/>
          <w:spacing w:val="-2"/>
          <w:sz w:val="28"/>
          <w:szCs w:val="28"/>
        </w:rPr>
        <w:t>Đ</w:t>
      </w:r>
      <w:r w:rsidRPr="00ED62CD">
        <w:rPr>
          <w:color w:val="auto"/>
          <w:spacing w:val="-2"/>
          <w:sz w:val="28"/>
          <w:szCs w:val="28"/>
        </w:rPr>
        <w:t xml:space="preserve">ề nghị </w:t>
      </w:r>
      <w:r>
        <w:rPr>
          <w:color w:val="auto"/>
          <w:spacing w:val="-2"/>
          <w:sz w:val="28"/>
          <w:szCs w:val="28"/>
        </w:rPr>
        <w:t xml:space="preserve">Chính phủ </w:t>
      </w:r>
      <w:r w:rsidRPr="00ED62CD">
        <w:rPr>
          <w:color w:val="auto"/>
          <w:spacing w:val="-2"/>
          <w:sz w:val="28"/>
          <w:szCs w:val="28"/>
        </w:rPr>
        <w:t>cần tiếp tục nghiên cứu, có đánh giá tác động toàn diện và sâu</w:t>
      </w:r>
      <w:r>
        <w:rPr>
          <w:color w:val="auto"/>
          <w:sz w:val="28"/>
          <w:szCs w:val="28"/>
        </w:rPr>
        <w:t xml:space="preserve"> sắc hơn, có các hoạt động khảo sát thực tế, nghiên cứu kinh nghiệm nước ngoài để có quy định phù hợp hơn về trách nhiệm của cơ quan chủ trì thực hiện và các cơ quan có trách nhiệm phối hợp</w:t>
      </w:r>
      <w:r w:rsidRPr="00C317C9">
        <w:rPr>
          <w:color w:val="auto"/>
          <w:sz w:val="28"/>
          <w:szCs w:val="28"/>
        </w:rPr>
        <w:t xml:space="preserve"> nhằm bảo đảm tính khả thi </w:t>
      </w:r>
      <w:r>
        <w:rPr>
          <w:color w:val="auto"/>
          <w:sz w:val="28"/>
          <w:szCs w:val="28"/>
        </w:rPr>
        <w:t xml:space="preserve">của Luật </w:t>
      </w:r>
      <w:r w:rsidRPr="00C317C9">
        <w:rPr>
          <w:color w:val="auto"/>
          <w:sz w:val="28"/>
          <w:szCs w:val="28"/>
        </w:rPr>
        <w:t xml:space="preserve">và </w:t>
      </w:r>
      <w:r>
        <w:rPr>
          <w:color w:val="auto"/>
          <w:sz w:val="28"/>
          <w:szCs w:val="28"/>
        </w:rPr>
        <w:t>tạo sự đồng thuận cao</w:t>
      </w:r>
      <w:r w:rsidRPr="00C317C9">
        <w:rPr>
          <w:color w:val="auto"/>
          <w:sz w:val="28"/>
          <w:szCs w:val="28"/>
        </w:rPr>
        <w:t>.</w:t>
      </w:r>
      <w:r w:rsidRPr="00727CFC">
        <w:rPr>
          <w:color w:val="auto"/>
          <w:sz w:val="28"/>
          <w:szCs w:val="28"/>
        </w:rPr>
        <w:t xml:space="preserve"> </w:t>
      </w:r>
      <w:r>
        <w:rPr>
          <w:color w:val="auto"/>
          <w:sz w:val="28"/>
          <w:szCs w:val="28"/>
        </w:rPr>
        <w:t>Hơn nữa, về căn cứ để quyết định áp dụng biện pháp bảo vệ chưa rõ ràng, chưa phù hợp với thực trạng tình trạng tố cáo sai là phổ biến (chiếm tỷ lệ khoảng 60% số vụ tố cáo), do đó việc quy định trường hợp được bảo vệ và biện pháp được áp dụng cần phải rất chặt chẽ nếu không sẽ bị lạm dụng và mục đích việc bảo vệ người tố cáo không đạt được.</w:t>
      </w:r>
    </w:p>
    <w:p w:rsidR="005A0CD6" w:rsidRDefault="005A0CD6" w:rsidP="004D7B34">
      <w:pPr>
        <w:spacing w:before="120" w:line="252" w:lineRule="auto"/>
        <w:rPr>
          <w:color w:val="auto"/>
          <w:sz w:val="28"/>
          <w:szCs w:val="28"/>
        </w:rPr>
      </w:pPr>
      <w:r w:rsidRPr="005803CD">
        <w:rPr>
          <w:bCs/>
          <w:i/>
          <w:color w:val="auto"/>
          <w:sz w:val="28"/>
          <w:szCs w:val="28"/>
        </w:rPr>
        <w:t xml:space="preserve">- Về cơ quan có </w:t>
      </w:r>
      <w:r>
        <w:rPr>
          <w:bCs/>
          <w:i/>
          <w:color w:val="auto"/>
          <w:sz w:val="28"/>
          <w:szCs w:val="28"/>
        </w:rPr>
        <w:t>thẩm quyền</w:t>
      </w:r>
      <w:r w:rsidRPr="005803CD">
        <w:rPr>
          <w:bCs/>
          <w:i/>
          <w:color w:val="auto"/>
          <w:sz w:val="28"/>
          <w:szCs w:val="28"/>
        </w:rPr>
        <w:t xml:space="preserve"> bảo vệ (Điều 43)</w:t>
      </w:r>
      <w:r>
        <w:rPr>
          <w:bCs/>
          <w:i/>
          <w:color w:val="auto"/>
          <w:sz w:val="28"/>
          <w:szCs w:val="28"/>
        </w:rPr>
        <w:t xml:space="preserve">: </w:t>
      </w:r>
      <w:r>
        <w:rPr>
          <w:color w:val="auto"/>
          <w:sz w:val="28"/>
          <w:szCs w:val="28"/>
        </w:rPr>
        <w:t xml:space="preserve">Dự thảo Luật quy định nhiều cơ quan có thẩm quyền bảo vệ người tố cáo như cơ quan có thẩm quyền giải quyết tố cáo, cơ quan tiếp nhận, xác minh nội dung tố cáo, cơ quan công an, Ủy ban nhân dân cấp xã. Tuy nhiên, chưa rõ cơ quan nào là cơ quan chủ trì chịu trách nhiệm chính thực hiện các biện pháp bảo vệ người tố cáo, cơ quan nào là cơ quan chịu trách nhiệm phối hợp. Việc giao Ủy ban nhân dân cấp xã có trách nhiệm bảo </w:t>
      </w:r>
      <w:r>
        <w:rPr>
          <w:color w:val="auto"/>
          <w:sz w:val="28"/>
          <w:szCs w:val="28"/>
        </w:rPr>
        <w:lastRenderedPageBreak/>
        <w:t xml:space="preserve">vệ các quyền công dân của người được bảo vệ tại nơi cư trú như nội dung tại Điều 56 là chưa thật phù hợp với nhiệm vụ, quyền hạn của cơ quan này và tính khả thi không cao.  </w:t>
      </w:r>
    </w:p>
    <w:p w:rsidR="005A0CD6" w:rsidRPr="00C317C9" w:rsidRDefault="005A0CD6" w:rsidP="004D7B34">
      <w:pPr>
        <w:spacing w:before="120" w:line="252" w:lineRule="auto"/>
        <w:rPr>
          <w:bCs/>
          <w:color w:val="auto"/>
          <w:sz w:val="28"/>
          <w:szCs w:val="28"/>
        </w:rPr>
      </w:pPr>
      <w:r>
        <w:rPr>
          <w:color w:val="auto"/>
          <w:sz w:val="28"/>
          <w:szCs w:val="28"/>
        </w:rPr>
        <w:t>Đa số ý kiến Ủy ban Pháp luật đề xuất</w:t>
      </w:r>
      <w:r w:rsidRPr="00C317C9">
        <w:rPr>
          <w:color w:val="auto"/>
          <w:sz w:val="28"/>
          <w:szCs w:val="28"/>
        </w:rPr>
        <w:t xml:space="preserve"> </w:t>
      </w:r>
      <w:r>
        <w:rPr>
          <w:color w:val="auto"/>
          <w:sz w:val="28"/>
          <w:szCs w:val="28"/>
        </w:rPr>
        <w:t xml:space="preserve">để thực hiện chủ trương của Đảng trong việc bảo vệ người tố cáo, đồng thời bảo đảm linh hoạt và phù hợp với điều kiện thực tế của nước ta thì </w:t>
      </w:r>
      <w:r w:rsidRPr="00C317C9">
        <w:rPr>
          <w:color w:val="auto"/>
          <w:sz w:val="28"/>
          <w:szCs w:val="28"/>
        </w:rPr>
        <w:t xml:space="preserve">dự thảo Luật chỉ nên </w:t>
      </w:r>
      <w:r>
        <w:rPr>
          <w:color w:val="auto"/>
          <w:sz w:val="28"/>
          <w:szCs w:val="28"/>
        </w:rPr>
        <w:t>quy</w:t>
      </w:r>
      <w:r w:rsidRPr="00C317C9">
        <w:rPr>
          <w:color w:val="auto"/>
          <w:sz w:val="28"/>
          <w:szCs w:val="28"/>
        </w:rPr>
        <w:t xml:space="preserve"> định về nguyên tắc, yêu cầu, phạm vi, phương thức, cơ quan </w:t>
      </w:r>
      <w:r>
        <w:rPr>
          <w:color w:val="auto"/>
          <w:sz w:val="28"/>
          <w:szCs w:val="28"/>
        </w:rPr>
        <w:t xml:space="preserve">có trách nhiệm </w:t>
      </w:r>
      <w:r w:rsidRPr="00C317C9">
        <w:rPr>
          <w:color w:val="auto"/>
          <w:sz w:val="28"/>
          <w:szCs w:val="28"/>
        </w:rPr>
        <w:t xml:space="preserve">bảo vệ người tố cáo; còn về </w:t>
      </w:r>
      <w:r>
        <w:rPr>
          <w:color w:val="auto"/>
          <w:sz w:val="28"/>
          <w:szCs w:val="28"/>
        </w:rPr>
        <w:t xml:space="preserve">căn cứ, trình tự, thủ tục, áp dụng các biện pháp bảo vệ </w:t>
      </w:r>
      <w:r w:rsidRPr="00C317C9">
        <w:rPr>
          <w:color w:val="auto"/>
          <w:sz w:val="28"/>
          <w:szCs w:val="28"/>
        </w:rPr>
        <w:t>và phân công trách nhiệm cụ thể đối với từng cơ quan trong việc bảo vệ người tố cáo thì nên giao Chính phủ quy định.</w:t>
      </w:r>
      <w:r>
        <w:rPr>
          <w:color w:val="auto"/>
          <w:sz w:val="28"/>
          <w:szCs w:val="28"/>
        </w:rPr>
        <w:t xml:space="preserve"> Cũng có ý kiến đề nghị Luật cần có thêm quy định về bảo vệ người bị tố cáo, khi chưa có kết luận đúng, sai mà đơn tố cáo đã lan truyền rộng gây ảnh hưởng đến uy tín, danh dự người bị tố cáo.</w:t>
      </w:r>
    </w:p>
    <w:p w:rsidR="005A0CD6" w:rsidRPr="00C317C9" w:rsidRDefault="005A0CD6" w:rsidP="005A0CD6">
      <w:pPr>
        <w:spacing w:before="120" w:line="252" w:lineRule="auto"/>
        <w:ind w:firstLine="601"/>
        <w:rPr>
          <w:b/>
          <w:color w:val="auto"/>
          <w:sz w:val="28"/>
          <w:szCs w:val="28"/>
          <w:lang w:val="nb-NO"/>
        </w:rPr>
      </w:pPr>
      <w:r>
        <w:rPr>
          <w:b/>
          <w:color w:val="auto"/>
          <w:sz w:val="28"/>
          <w:szCs w:val="28"/>
          <w:lang w:val="nb-NO"/>
        </w:rPr>
        <w:t>4</w:t>
      </w:r>
      <w:r w:rsidRPr="00C317C9">
        <w:rPr>
          <w:b/>
          <w:color w:val="auto"/>
          <w:sz w:val="28"/>
          <w:szCs w:val="28"/>
          <w:lang w:val="nb-NO"/>
        </w:rPr>
        <w:t>. Về khen thưởng và xử lý hành vi vi phạm (Chương VIII)</w:t>
      </w:r>
    </w:p>
    <w:p w:rsidR="005A0CD6" w:rsidRPr="00850244" w:rsidRDefault="005A0CD6" w:rsidP="005A0CD6">
      <w:pPr>
        <w:pStyle w:val="NormalWeb"/>
        <w:shd w:val="clear" w:color="auto" w:fill="FFFFFF"/>
        <w:spacing w:before="120" w:beforeAutospacing="0" w:after="120" w:afterAutospacing="0" w:line="252" w:lineRule="auto"/>
        <w:ind w:firstLine="601"/>
        <w:jc w:val="both"/>
        <w:rPr>
          <w:spacing w:val="-2"/>
          <w:sz w:val="28"/>
          <w:szCs w:val="28"/>
          <w:lang w:val="nb-NO"/>
        </w:rPr>
      </w:pPr>
      <w:r w:rsidRPr="00850244">
        <w:rPr>
          <w:i/>
          <w:spacing w:val="-2"/>
          <w:sz w:val="28"/>
          <w:szCs w:val="28"/>
          <w:lang w:val="nb-NO"/>
        </w:rPr>
        <w:t xml:space="preserve">- Về khen thưởng: </w:t>
      </w:r>
      <w:r w:rsidRPr="00850244">
        <w:rPr>
          <w:spacing w:val="-2"/>
          <w:sz w:val="28"/>
          <w:szCs w:val="28"/>
          <w:lang w:val="nb-NO"/>
        </w:rPr>
        <w:t xml:space="preserve">Dự thảo Luật đã chỉnh lý, bổ sung một số quy định cụ thể về </w:t>
      </w:r>
      <w:r w:rsidRPr="00850244">
        <w:rPr>
          <w:bCs/>
          <w:spacing w:val="-2"/>
          <w:sz w:val="28"/>
          <w:szCs w:val="28"/>
          <w:lang w:val="vi-VN"/>
        </w:rPr>
        <w:t>khen thưởng</w:t>
      </w:r>
      <w:r w:rsidRPr="00850244">
        <w:rPr>
          <w:bCs/>
          <w:spacing w:val="-2"/>
          <w:sz w:val="28"/>
          <w:szCs w:val="28"/>
        </w:rPr>
        <w:t xml:space="preserve">, bao gồm nguyên tắc khen thưởng người có thành tích trong việc tố cáo; hình thức khen thưởng; tiêu chuẩn khen thưởng; đề nghị khen thưởng; hồ sơ, thủ tục khen thưởng; quỹ khen thưởng và mức thưởng </w:t>
      </w:r>
      <w:r w:rsidRPr="00850244">
        <w:rPr>
          <w:spacing w:val="-2"/>
          <w:sz w:val="28"/>
          <w:szCs w:val="28"/>
          <w:lang w:val="nb-NO"/>
        </w:rPr>
        <w:t>(từ Điều 63 đến Điều 68).</w:t>
      </w:r>
    </w:p>
    <w:p w:rsidR="005A0CD6" w:rsidRPr="00342A5C" w:rsidRDefault="005A0CD6" w:rsidP="004D7B34">
      <w:pPr>
        <w:pStyle w:val="NormalWeb"/>
        <w:shd w:val="clear" w:color="auto" w:fill="FFFFFF"/>
        <w:spacing w:before="120" w:beforeAutospacing="0" w:after="120" w:afterAutospacing="0" w:line="252" w:lineRule="auto"/>
        <w:ind w:firstLine="601"/>
        <w:jc w:val="both"/>
        <w:rPr>
          <w:bCs/>
          <w:spacing w:val="-2"/>
          <w:sz w:val="28"/>
          <w:szCs w:val="28"/>
        </w:rPr>
      </w:pPr>
      <w:r w:rsidRPr="00342A5C">
        <w:rPr>
          <w:spacing w:val="-2"/>
          <w:sz w:val="28"/>
          <w:szCs w:val="28"/>
        </w:rPr>
        <w:t xml:space="preserve">Đa số ý kiến Ủy ban Pháp luật </w:t>
      </w:r>
      <w:r w:rsidRPr="00342A5C">
        <w:rPr>
          <w:bCs/>
          <w:spacing w:val="-2"/>
          <w:sz w:val="28"/>
          <w:szCs w:val="28"/>
        </w:rPr>
        <w:t xml:space="preserve">đề nghị không quy định về </w:t>
      </w:r>
      <w:r w:rsidRPr="00342A5C">
        <w:rPr>
          <w:spacing w:val="-2"/>
          <w:sz w:val="28"/>
          <w:szCs w:val="28"/>
          <w:lang w:val="nb-NO"/>
        </w:rPr>
        <w:t>khen thưởng trong dự thảo Luật vì các nội dung này đã được quy định trong Luật Thi đua, khen thưởng và các văn bản pháp luật khác</w:t>
      </w:r>
      <w:r w:rsidRPr="00342A5C">
        <w:rPr>
          <w:bCs/>
          <w:iCs/>
          <w:spacing w:val="-2"/>
          <w:sz w:val="28"/>
          <w:szCs w:val="28"/>
        </w:rPr>
        <w:t>. Mặt khác, nhiều quy định về nội dung này trong dự thảo Luật trùng lặp, chồng chéo, mâu thuẫn với các văn bản pháp luật có liên quan.</w:t>
      </w:r>
      <w:r w:rsidRPr="00342A5C">
        <w:rPr>
          <w:spacing w:val="-2"/>
          <w:sz w:val="28"/>
          <w:szCs w:val="28"/>
          <w:lang w:val="de-DE"/>
        </w:rPr>
        <w:t xml:space="preserve"> </w:t>
      </w:r>
    </w:p>
    <w:p w:rsidR="005A0CD6" w:rsidRDefault="005A0CD6" w:rsidP="005A0CD6">
      <w:pPr>
        <w:pStyle w:val="NormalWeb"/>
        <w:shd w:val="clear" w:color="auto" w:fill="FFFFFF"/>
        <w:spacing w:before="120" w:beforeAutospacing="0" w:after="120" w:afterAutospacing="0" w:line="252" w:lineRule="auto"/>
        <w:ind w:firstLine="601"/>
        <w:jc w:val="both"/>
        <w:rPr>
          <w:sz w:val="28"/>
          <w:szCs w:val="28"/>
          <w:lang w:val="nb-NO"/>
        </w:rPr>
      </w:pPr>
      <w:r w:rsidRPr="00850244">
        <w:rPr>
          <w:sz w:val="28"/>
          <w:szCs w:val="28"/>
          <w:lang w:val="nb-NO"/>
        </w:rPr>
        <w:t xml:space="preserve">Một số ý kiến nhất trí việc bổ sung những nội dung trên nhằm thể chế hóa </w:t>
      </w:r>
      <w:r w:rsidRPr="00850244">
        <w:rPr>
          <w:sz w:val="28"/>
          <w:szCs w:val="28"/>
        </w:rPr>
        <w:t xml:space="preserve">Chỉ thị số 50-CT/TW ngày 15/12/2015 </w:t>
      </w:r>
      <w:r>
        <w:rPr>
          <w:sz w:val="28"/>
          <w:szCs w:val="28"/>
          <w:lang w:val="de-DE"/>
        </w:rPr>
        <w:t>của Bộ Chính trị và Nghị q</w:t>
      </w:r>
      <w:r w:rsidRPr="00850244">
        <w:rPr>
          <w:sz w:val="28"/>
          <w:szCs w:val="28"/>
          <w:lang w:val="de-DE"/>
        </w:rPr>
        <w:t xml:space="preserve">uyết trung ương 4 khóa 12 của BCHTW Đảng để khen thưởng, động viên kịp thời người có thành tích tố giác hành vi vi phạm pháp luật, nhất là tố giác hành vi tham nhũng. Tuy nhiên, đề nghị không quy định việc </w:t>
      </w:r>
      <w:r w:rsidRPr="00850244">
        <w:rPr>
          <w:bCs/>
          <w:sz w:val="28"/>
          <w:szCs w:val="28"/>
        </w:rPr>
        <w:t xml:space="preserve">thành lập quỹ khen thưởng trong </w:t>
      </w:r>
      <w:r w:rsidRPr="00850244">
        <w:rPr>
          <w:sz w:val="28"/>
          <w:szCs w:val="28"/>
          <w:lang w:val="nb-NO"/>
        </w:rPr>
        <w:t>dự thảo Luật vì sẽ làm tăng tăng biên chế</w:t>
      </w:r>
      <w:r>
        <w:rPr>
          <w:sz w:val="28"/>
          <w:szCs w:val="28"/>
          <w:lang w:val="nb-NO"/>
        </w:rPr>
        <w:t xml:space="preserve"> và</w:t>
      </w:r>
      <w:r w:rsidRPr="00850244">
        <w:rPr>
          <w:sz w:val="28"/>
          <w:szCs w:val="28"/>
          <w:lang w:val="nb-NO"/>
        </w:rPr>
        <w:t xml:space="preserve"> </w:t>
      </w:r>
      <w:r>
        <w:rPr>
          <w:sz w:val="28"/>
          <w:szCs w:val="28"/>
          <w:lang w:val="nb-NO"/>
        </w:rPr>
        <w:t>bộ máy.</w:t>
      </w:r>
    </w:p>
    <w:p w:rsidR="005A0CD6" w:rsidRPr="00C52A30" w:rsidRDefault="005A0CD6" w:rsidP="004D7B34">
      <w:pPr>
        <w:spacing w:before="120" w:line="252" w:lineRule="auto"/>
        <w:ind w:firstLine="601"/>
        <w:rPr>
          <w:bCs/>
          <w:iCs/>
          <w:color w:val="auto"/>
          <w:sz w:val="28"/>
          <w:szCs w:val="28"/>
        </w:rPr>
      </w:pPr>
      <w:r w:rsidRPr="00C52A30">
        <w:rPr>
          <w:bCs/>
          <w:i/>
          <w:iCs/>
          <w:color w:val="auto"/>
          <w:sz w:val="28"/>
          <w:szCs w:val="28"/>
        </w:rPr>
        <w:t>- Về xử lý vi phạm:</w:t>
      </w:r>
      <w:r>
        <w:rPr>
          <w:bCs/>
          <w:iCs/>
          <w:color w:val="auto"/>
          <w:sz w:val="28"/>
          <w:szCs w:val="28"/>
        </w:rPr>
        <w:t xml:space="preserve"> Dự thảo Luật quy định</w:t>
      </w:r>
      <w:r w:rsidRPr="00C52A30">
        <w:rPr>
          <w:bCs/>
          <w:iCs/>
          <w:color w:val="auto"/>
          <w:sz w:val="28"/>
          <w:szCs w:val="28"/>
        </w:rPr>
        <w:t xml:space="preserve"> </w:t>
      </w:r>
      <w:r>
        <w:rPr>
          <w:bCs/>
          <w:iCs/>
          <w:color w:val="auto"/>
          <w:sz w:val="28"/>
          <w:szCs w:val="28"/>
        </w:rPr>
        <w:t xml:space="preserve">nhiều nội dung cụ thể </w:t>
      </w:r>
      <w:r w:rsidRPr="00C52A30">
        <w:rPr>
          <w:bCs/>
          <w:iCs/>
          <w:color w:val="auto"/>
          <w:sz w:val="28"/>
          <w:szCs w:val="28"/>
        </w:rPr>
        <w:t xml:space="preserve">xử lý hành vi </w:t>
      </w:r>
      <w:r>
        <w:rPr>
          <w:bCs/>
          <w:iCs/>
          <w:color w:val="auto"/>
          <w:sz w:val="28"/>
          <w:szCs w:val="28"/>
        </w:rPr>
        <w:t xml:space="preserve">cố ý </w:t>
      </w:r>
      <w:r w:rsidRPr="00C52A30">
        <w:rPr>
          <w:bCs/>
          <w:iCs/>
          <w:color w:val="auto"/>
          <w:sz w:val="28"/>
          <w:szCs w:val="28"/>
        </w:rPr>
        <w:t>vi phạm</w:t>
      </w:r>
      <w:r>
        <w:rPr>
          <w:bCs/>
          <w:iCs/>
          <w:color w:val="auto"/>
          <w:sz w:val="28"/>
          <w:szCs w:val="28"/>
        </w:rPr>
        <w:t xml:space="preserve"> của người tố cáo sai</w:t>
      </w:r>
      <w:r w:rsidRPr="00C52A30">
        <w:rPr>
          <w:bCs/>
          <w:iCs/>
          <w:color w:val="auto"/>
          <w:sz w:val="28"/>
          <w:szCs w:val="28"/>
        </w:rPr>
        <w:t>; các hành vi vi phạm của người giải quyết tố cáo (từ Điều 69 đến Điều 74).</w:t>
      </w:r>
    </w:p>
    <w:p w:rsidR="005A0CD6" w:rsidRPr="00C52A30" w:rsidRDefault="005A0CD6" w:rsidP="004D7B34">
      <w:pPr>
        <w:spacing w:before="120" w:line="252" w:lineRule="auto"/>
        <w:ind w:firstLine="601"/>
        <w:rPr>
          <w:bCs/>
          <w:iCs/>
          <w:color w:val="auto"/>
          <w:sz w:val="28"/>
          <w:szCs w:val="28"/>
        </w:rPr>
      </w:pPr>
      <w:r>
        <w:rPr>
          <w:bCs/>
          <w:iCs/>
          <w:color w:val="auto"/>
          <w:sz w:val="28"/>
          <w:szCs w:val="28"/>
        </w:rPr>
        <w:t xml:space="preserve">Đa số ý kiến </w:t>
      </w:r>
      <w:r w:rsidRPr="00C52A30">
        <w:rPr>
          <w:bCs/>
          <w:iCs/>
          <w:color w:val="auto"/>
          <w:sz w:val="28"/>
          <w:szCs w:val="28"/>
        </w:rPr>
        <w:t xml:space="preserve">Ủy ban Pháp luật đề nghị không quy định nội dung này trong dự thảo Luật, vì việc xử lý vi phạm đã được quy định cụ thể trong các văn bản pháp luật hiện hành như Luật Cán bộ, công chức, Luật Xử lý vi phạm hành chính, Bộ luật Hình sự, Bộ luật Dân sự và các văn bản pháp luật có liên quan. Việc quy định cụ thể trong dự thảo Luật sẽ dẫn đến trùng lắp, chồng chéo và không bảo đảm tính thống nhất của </w:t>
      </w:r>
      <w:r>
        <w:rPr>
          <w:bCs/>
          <w:iCs/>
          <w:color w:val="auto"/>
          <w:sz w:val="28"/>
          <w:szCs w:val="28"/>
        </w:rPr>
        <w:t xml:space="preserve">hệ thống </w:t>
      </w:r>
      <w:r w:rsidRPr="00C52A30">
        <w:rPr>
          <w:bCs/>
          <w:iCs/>
          <w:color w:val="auto"/>
          <w:sz w:val="28"/>
          <w:szCs w:val="28"/>
        </w:rPr>
        <w:t>pháp luật.</w:t>
      </w:r>
    </w:p>
    <w:p w:rsidR="005A0CD6" w:rsidRDefault="005A0CD6" w:rsidP="004D7B34">
      <w:pPr>
        <w:spacing w:before="120" w:line="252" w:lineRule="auto"/>
        <w:rPr>
          <w:bCs/>
          <w:iCs/>
          <w:color w:val="auto"/>
          <w:sz w:val="28"/>
          <w:szCs w:val="28"/>
        </w:rPr>
      </w:pPr>
      <w:r>
        <w:rPr>
          <w:bCs/>
          <w:iCs/>
          <w:color w:val="auto"/>
          <w:sz w:val="28"/>
          <w:szCs w:val="28"/>
        </w:rPr>
        <w:t>C</w:t>
      </w:r>
      <w:r w:rsidRPr="00C52A30">
        <w:rPr>
          <w:bCs/>
          <w:iCs/>
          <w:color w:val="auto"/>
          <w:sz w:val="28"/>
          <w:szCs w:val="28"/>
        </w:rPr>
        <w:t xml:space="preserve">ó ý kiến nhất trí với quy định của dự thảo Luật về xử lý vi phạm nhằm nâng cao kỷ cương, kỷ luật trong công tác giải quyết tố cáo; xử lý nghiêm người </w:t>
      </w:r>
      <w:r>
        <w:rPr>
          <w:bCs/>
          <w:iCs/>
          <w:color w:val="auto"/>
          <w:sz w:val="28"/>
          <w:szCs w:val="28"/>
        </w:rPr>
        <w:t xml:space="preserve">lợi dụng quyền tố cáo, cố ý </w:t>
      </w:r>
      <w:r w:rsidRPr="00C52A30">
        <w:rPr>
          <w:bCs/>
          <w:iCs/>
          <w:color w:val="auto"/>
          <w:sz w:val="28"/>
          <w:szCs w:val="28"/>
        </w:rPr>
        <w:t xml:space="preserve">tố cáo sai sự thật </w:t>
      </w:r>
      <w:r>
        <w:rPr>
          <w:color w:val="auto"/>
          <w:sz w:val="28"/>
          <w:szCs w:val="28"/>
        </w:rPr>
        <w:t>và</w:t>
      </w:r>
      <w:r w:rsidRPr="00C52A30">
        <w:rPr>
          <w:bCs/>
          <w:iCs/>
          <w:color w:val="auto"/>
          <w:sz w:val="28"/>
          <w:szCs w:val="28"/>
        </w:rPr>
        <w:t xml:space="preserve"> người có trách nhiệm giải quyết tố cáo </w:t>
      </w:r>
      <w:r>
        <w:rPr>
          <w:bCs/>
          <w:iCs/>
          <w:color w:val="auto"/>
          <w:sz w:val="28"/>
          <w:szCs w:val="28"/>
        </w:rPr>
        <w:t xml:space="preserve">cố tình </w:t>
      </w:r>
      <w:r w:rsidRPr="00C52A30">
        <w:rPr>
          <w:bCs/>
          <w:iCs/>
          <w:color w:val="auto"/>
          <w:sz w:val="28"/>
          <w:szCs w:val="28"/>
        </w:rPr>
        <w:t xml:space="preserve">bao che, né tránh trách nhiệm. </w:t>
      </w:r>
      <w:r>
        <w:rPr>
          <w:bCs/>
          <w:iCs/>
          <w:color w:val="auto"/>
          <w:sz w:val="28"/>
          <w:szCs w:val="28"/>
        </w:rPr>
        <w:t xml:space="preserve">Tuy nhiên, đề nghị chỉ nên quy định </w:t>
      </w:r>
      <w:r>
        <w:rPr>
          <w:bCs/>
          <w:iCs/>
          <w:color w:val="auto"/>
          <w:sz w:val="28"/>
          <w:szCs w:val="28"/>
        </w:rPr>
        <w:lastRenderedPageBreak/>
        <w:t>những nội dung mới, mang tính đặc thù trong lĩnh vực tố cáo nhằm tránh trùng lắp, mâu thuẫn, chồng chéo với các văn bản pháp luật khác. Cũng có thể quy định về các nội dung này trong các điều về quyền và nghĩa vụ của người tố cáo, người giải quyết tố cáo.</w:t>
      </w:r>
    </w:p>
    <w:p w:rsidR="005A0CD6" w:rsidRPr="00FE1B7E" w:rsidRDefault="005A0CD6" w:rsidP="004D7B34">
      <w:pPr>
        <w:spacing w:before="120" w:line="252" w:lineRule="auto"/>
        <w:rPr>
          <w:b/>
          <w:color w:val="auto"/>
          <w:sz w:val="28"/>
          <w:szCs w:val="28"/>
        </w:rPr>
      </w:pPr>
      <w:r>
        <w:rPr>
          <w:b/>
          <w:color w:val="auto"/>
          <w:sz w:val="28"/>
          <w:szCs w:val="28"/>
        </w:rPr>
        <w:t>5</w:t>
      </w:r>
      <w:r w:rsidRPr="00FE1B7E">
        <w:rPr>
          <w:b/>
          <w:color w:val="auto"/>
          <w:sz w:val="28"/>
          <w:szCs w:val="28"/>
        </w:rPr>
        <w:t>. Về điểm dừng trong giải quyết tố cáo</w:t>
      </w:r>
    </w:p>
    <w:p w:rsidR="005A0CD6" w:rsidRDefault="005A0CD6" w:rsidP="005A0CD6">
      <w:pPr>
        <w:spacing w:before="120" w:line="252" w:lineRule="auto"/>
        <w:ind w:firstLine="601"/>
        <w:rPr>
          <w:color w:val="auto"/>
          <w:sz w:val="28"/>
          <w:szCs w:val="28"/>
        </w:rPr>
      </w:pPr>
      <w:r>
        <w:rPr>
          <w:color w:val="auto"/>
          <w:sz w:val="28"/>
          <w:szCs w:val="28"/>
        </w:rPr>
        <w:t>Ủy ban Pháp luật cho rằng, dự thảo Luật quy định Thủ tướng Chính phủ, Chánh án Tòa án nhân dân tối cao, Viện trưởng Viện kiểm sát nhân dân tối cao, Ủy ban Thường vụ Quốc hội là cơ quan có thẩm quyền giải quyết tố cáo cao nhất nhưng chưa quy định việc chấm dứt giải quyết tiếp đối với trường hợp đã được cơ quan có thẩm quyền cao nhất giải quyết là không phù hợp</w:t>
      </w:r>
      <w:r w:rsidRPr="00030E24">
        <w:rPr>
          <w:color w:val="auto"/>
          <w:sz w:val="28"/>
          <w:szCs w:val="28"/>
        </w:rPr>
        <w:t>.</w:t>
      </w:r>
      <w:r>
        <w:rPr>
          <w:color w:val="auto"/>
          <w:sz w:val="28"/>
          <w:szCs w:val="28"/>
        </w:rPr>
        <w:t xml:space="preserve"> Trên thực tế nhiều vụ việc tố cáo đã được cơ quan có thẩm quyền cao nhất giải quyết, nhưng người dân vẫn tiếp tục tố cáo, dẫn đến tố cáo kéo dài, gây khó khăn, lúng túng cho các cơ quan nhà nước và gây bất ổn cho xã hội. Vì vậy, Luật cần quy định rõ điểm dừng của tố cáo gắn với điểm dừng của thẩm quyền giải quyết tố cáo.</w:t>
      </w:r>
    </w:p>
    <w:p w:rsidR="005A0CD6" w:rsidRPr="00B42071" w:rsidRDefault="005A0CD6" w:rsidP="004D7B34">
      <w:pPr>
        <w:spacing w:before="120" w:line="252" w:lineRule="auto"/>
        <w:rPr>
          <w:b/>
          <w:color w:val="auto"/>
          <w:sz w:val="28"/>
          <w:szCs w:val="28"/>
        </w:rPr>
      </w:pPr>
      <w:r>
        <w:rPr>
          <w:b/>
          <w:color w:val="auto"/>
          <w:sz w:val="28"/>
          <w:szCs w:val="28"/>
        </w:rPr>
        <w:t>6</w:t>
      </w:r>
      <w:r w:rsidRPr="00B42071">
        <w:rPr>
          <w:b/>
          <w:color w:val="auto"/>
          <w:sz w:val="28"/>
          <w:szCs w:val="28"/>
        </w:rPr>
        <w:t>. Một số nội dung khác.</w:t>
      </w:r>
    </w:p>
    <w:p w:rsidR="005A0CD6" w:rsidRPr="00FD6D65" w:rsidRDefault="005A0CD6" w:rsidP="005A0CD6">
      <w:pPr>
        <w:tabs>
          <w:tab w:val="left" w:pos="2962"/>
        </w:tabs>
        <w:spacing w:before="120" w:line="252" w:lineRule="auto"/>
        <w:rPr>
          <w:color w:val="auto"/>
          <w:spacing w:val="-4"/>
          <w:sz w:val="28"/>
          <w:szCs w:val="28"/>
        </w:rPr>
      </w:pPr>
      <w:r w:rsidRPr="00FD6D65">
        <w:rPr>
          <w:color w:val="auto"/>
          <w:spacing w:val="-4"/>
          <w:sz w:val="28"/>
          <w:szCs w:val="28"/>
        </w:rPr>
        <w:t xml:space="preserve">Ngoài các nội dung nêu trên, Ủy ban Pháp luật đã thảo luận, nêu nhiều ý kiến về nội dung cụ thể khác như: đề nghị làm rõ hơn khái niệm “tố cáo”, xác định rõ phạm vi điều chỉnh, phạm vi không điều chỉnh của Luật này; xác định rõ quyền tố cáo là của “cá nhân” hay “công dân”; về nghĩa vụ của người tố cáo phải gửi đơn đến đúng cơ quan có thẩm quyền giải quyết (Điều 9); về nguyên tắc xác định thẩm quyền giải quyết tố cáo (Điều 12); về tố cáo nặc danh, mạo danh (Điều 20); </w:t>
      </w:r>
      <w:r w:rsidRPr="00FD6D65">
        <w:rPr>
          <w:bCs/>
          <w:color w:val="auto"/>
          <w:spacing w:val="-4"/>
          <w:sz w:val="28"/>
          <w:szCs w:val="28"/>
        </w:rPr>
        <w:t>về</w:t>
      </w:r>
      <w:r w:rsidRPr="00FD6D65">
        <w:rPr>
          <w:bCs/>
          <w:color w:val="auto"/>
          <w:spacing w:val="-4"/>
          <w:sz w:val="28"/>
          <w:szCs w:val="28"/>
          <w:lang w:val="vi-VN"/>
        </w:rPr>
        <w:t xml:space="preserve"> giải quyết lại vụ việc tố cáo tiếp</w:t>
      </w:r>
      <w:r w:rsidRPr="00FD6D65">
        <w:rPr>
          <w:bCs/>
          <w:color w:val="auto"/>
          <w:spacing w:val="-4"/>
          <w:sz w:val="28"/>
          <w:szCs w:val="28"/>
        </w:rPr>
        <w:t xml:space="preserve"> (các điểm quy định tại khoản 3 Điều 30); về thời hiệu tố cáo; quy định cụ thể hơn </w:t>
      </w:r>
      <w:r w:rsidRPr="00FD6D65">
        <w:rPr>
          <w:color w:val="auto"/>
          <w:spacing w:val="-4"/>
          <w:sz w:val="28"/>
          <w:szCs w:val="28"/>
          <w:lang w:val="fr-FR"/>
        </w:rPr>
        <w:t>sự phối hợp giữa các cơ quan, tổ chức có trách nhiệm trong quá trình giải quyết tố cáo; đồng thời, cho nhiều ý kiến về mặt</w:t>
      </w:r>
      <w:r w:rsidRPr="00FD6D65">
        <w:rPr>
          <w:spacing w:val="-4"/>
          <w:sz w:val="28"/>
          <w:szCs w:val="28"/>
          <w:lang w:val="fr-FR"/>
        </w:rPr>
        <w:t xml:space="preserve"> </w:t>
      </w:r>
      <w:r w:rsidRPr="00FD6D65">
        <w:rPr>
          <w:color w:val="auto"/>
          <w:spacing w:val="-4"/>
          <w:sz w:val="28"/>
          <w:szCs w:val="28"/>
        </w:rPr>
        <w:t>kỹ thuật lập pháp.</w:t>
      </w:r>
      <w:r w:rsidRPr="00FD6D65">
        <w:rPr>
          <w:color w:val="auto"/>
          <w:spacing w:val="-4"/>
          <w:sz w:val="28"/>
          <w:szCs w:val="28"/>
          <w:lang w:val="vi-VN"/>
        </w:rPr>
        <w:t xml:space="preserve"> </w:t>
      </w:r>
    </w:p>
    <w:p w:rsidR="005A0CD6" w:rsidRPr="00353504" w:rsidRDefault="005A0CD6" w:rsidP="005A0CD6">
      <w:pPr>
        <w:tabs>
          <w:tab w:val="left" w:pos="2962"/>
        </w:tabs>
        <w:spacing w:before="120" w:line="252" w:lineRule="auto"/>
        <w:rPr>
          <w:color w:val="auto"/>
          <w:sz w:val="28"/>
          <w:szCs w:val="28"/>
        </w:rPr>
      </w:pPr>
      <w:r>
        <w:rPr>
          <w:color w:val="auto"/>
          <w:sz w:val="28"/>
          <w:szCs w:val="28"/>
        </w:rPr>
        <w:t xml:space="preserve">Tại buổi họp thẩm tra của Ủy ban Pháp luật, đại diện Cơ quan soạn thảo đã phát biểu tiếp thu nhiều ý kiến của Ủy ban Pháp luật. </w:t>
      </w:r>
    </w:p>
    <w:p w:rsidR="005A0CD6" w:rsidRPr="00C52A30" w:rsidRDefault="005A0CD6" w:rsidP="005A0CD6">
      <w:pPr>
        <w:pStyle w:val="normal-p"/>
        <w:spacing w:before="120" w:beforeAutospacing="0" w:after="120" w:afterAutospacing="0" w:line="252" w:lineRule="auto"/>
        <w:ind w:left="3600" w:firstLine="720"/>
        <w:rPr>
          <w:sz w:val="28"/>
          <w:szCs w:val="28"/>
          <w:lang w:val="fr-FR"/>
        </w:rPr>
      </w:pPr>
      <w:r w:rsidRPr="00C52A30">
        <w:rPr>
          <w:sz w:val="28"/>
          <w:szCs w:val="28"/>
          <w:lang w:val="fr-FR"/>
        </w:rPr>
        <w:t xml:space="preserve">        *</w:t>
      </w:r>
    </w:p>
    <w:p w:rsidR="005A0CD6" w:rsidRPr="00C52A30" w:rsidRDefault="005A0CD6" w:rsidP="005A0CD6">
      <w:pPr>
        <w:pStyle w:val="normal-p"/>
        <w:spacing w:before="120" w:beforeAutospacing="0" w:after="120" w:afterAutospacing="0" w:line="252" w:lineRule="auto"/>
        <w:ind w:left="3600" w:firstLine="720"/>
        <w:rPr>
          <w:sz w:val="28"/>
          <w:szCs w:val="28"/>
          <w:lang w:val="fr-FR"/>
        </w:rPr>
      </w:pPr>
      <w:r w:rsidRPr="00C52A30">
        <w:rPr>
          <w:sz w:val="28"/>
          <w:szCs w:val="28"/>
          <w:lang w:val="fr-FR"/>
        </w:rPr>
        <w:t xml:space="preserve">  *          *</w:t>
      </w:r>
    </w:p>
    <w:p w:rsidR="005A0CD6" w:rsidRPr="00C52A30" w:rsidRDefault="005A0CD6" w:rsidP="005A0CD6">
      <w:pPr>
        <w:spacing w:before="120" w:line="252" w:lineRule="auto"/>
        <w:ind w:firstLine="601"/>
        <w:rPr>
          <w:i/>
          <w:color w:val="auto"/>
          <w:sz w:val="28"/>
          <w:szCs w:val="28"/>
          <w:lang w:val="fr-FR"/>
        </w:rPr>
      </w:pPr>
      <w:r w:rsidRPr="00C52A30">
        <w:rPr>
          <w:i/>
          <w:color w:val="auto"/>
          <w:sz w:val="28"/>
          <w:szCs w:val="28"/>
          <w:lang w:val="fr-FR"/>
        </w:rPr>
        <w:t xml:space="preserve">Kính thưa Ủy ban Thường vụ Quốc hội, </w:t>
      </w:r>
    </w:p>
    <w:p w:rsidR="005A0CD6" w:rsidRPr="00C52A30" w:rsidRDefault="005A0CD6" w:rsidP="005A0CD6">
      <w:pPr>
        <w:spacing w:before="120" w:line="252" w:lineRule="auto"/>
        <w:ind w:firstLine="601"/>
        <w:rPr>
          <w:color w:val="auto"/>
          <w:spacing w:val="-2"/>
          <w:sz w:val="28"/>
          <w:szCs w:val="28"/>
          <w:lang w:val="nl-NL"/>
        </w:rPr>
      </w:pPr>
      <w:r w:rsidRPr="00C52A30">
        <w:rPr>
          <w:color w:val="auto"/>
          <w:spacing w:val="-2"/>
          <w:sz w:val="28"/>
          <w:szCs w:val="28"/>
          <w:lang w:val="nl-NL"/>
        </w:rPr>
        <w:t xml:space="preserve">Trên đây là Báo cáo thẩm tra </w:t>
      </w:r>
      <w:r>
        <w:rPr>
          <w:color w:val="auto"/>
          <w:spacing w:val="-2"/>
          <w:sz w:val="28"/>
          <w:szCs w:val="28"/>
          <w:lang w:val="nl-NL"/>
        </w:rPr>
        <w:t>về dự án Luật T</w:t>
      </w:r>
      <w:r w:rsidRPr="00C52A30">
        <w:rPr>
          <w:color w:val="auto"/>
          <w:spacing w:val="-2"/>
          <w:sz w:val="28"/>
          <w:szCs w:val="28"/>
          <w:lang w:val="nl-NL"/>
        </w:rPr>
        <w:t xml:space="preserve">ố cáo (sửa đổi), </w:t>
      </w:r>
      <w:r w:rsidRPr="00C52A30">
        <w:rPr>
          <w:color w:val="auto"/>
          <w:spacing w:val="-2"/>
          <w:sz w:val="28"/>
          <w:szCs w:val="28"/>
          <w:lang w:val="fr-FR"/>
        </w:rPr>
        <w:t>Ủy ban Pháp luật</w:t>
      </w:r>
      <w:r w:rsidRPr="00C52A30">
        <w:rPr>
          <w:color w:val="auto"/>
          <w:spacing w:val="-2"/>
          <w:sz w:val="28"/>
          <w:szCs w:val="28"/>
          <w:lang w:val="nl-NL"/>
        </w:rPr>
        <w:t xml:space="preserve"> kính trình Ủy ban Thường vụ Quốc hội xem xét, quyết định./.</w:t>
      </w:r>
    </w:p>
    <w:tbl>
      <w:tblPr>
        <w:tblW w:w="9348" w:type="dxa"/>
        <w:tblLook w:val="01E0" w:firstRow="1" w:lastRow="1" w:firstColumn="1" w:lastColumn="1" w:noHBand="0" w:noVBand="0"/>
      </w:tblPr>
      <w:tblGrid>
        <w:gridCol w:w="4308"/>
        <w:gridCol w:w="5040"/>
      </w:tblGrid>
      <w:tr w:rsidR="005A0CD6" w:rsidRPr="00F52E21" w:rsidTr="00C654F6">
        <w:trPr>
          <w:trHeight w:val="716"/>
        </w:trPr>
        <w:tc>
          <w:tcPr>
            <w:tcW w:w="4308" w:type="dxa"/>
          </w:tcPr>
          <w:p w:rsidR="005A0CD6" w:rsidRPr="00C52A30" w:rsidRDefault="005A0CD6" w:rsidP="00C654F6">
            <w:pPr>
              <w:widowControl w:val="0"/>
              <w:tabs>
                <w:tab w:val="left" w:pos="1260"/>
              </w:tabs>
              <w:rPr>
                <w:b/>
                <w:bCs/>
                <w:i/>
                <w:color w:val="auto"/>
                <w:lang w:val="es-MX"/>
              </w:rPr>
            </w:pPr>
            <w:r w:rsidRPr="00C52A30">
              <w:rPr>
                <w:color w:val="auto"/>
                <w:spacing w:val="-2"/>
                <w:sz w:val="28"/>
                <w:szCs w:val="28"/>
                <w:lang w:val="nl-NL"/>
              </w:rPr>
              <w:t xml:space="preserve"> </w:t>
            </w:r>
          </w:p>
          <w:p w:rsidR="005A0CD6" w:rsidRPr="00C52A30" w:rsidRDefault="005A0CD6" w:rsidP="00C654F6">
            <w:pPr>
              <w:widowControl w:val="0"/>
              <w:tabs>
                <w:tab w:val="left" w:pos="1260"/>
              </w:tabs>
              <w:spacing w:after="0"/>
              <w:rPr>
                <w:b/>
                <w:bCs/>
                <w:i/>
                <w:color w:val="auto"/>
                <w:lang w:val="es-MX"/>
              </w:rPr>
            </w:pPr>
            <w:r w:rsidRPr="00C52A30">
              <w:rPr>
                <w:b/>
                <w:bCs/>
                <w:i/>
                <w:color w:val="auto"/>
                <w:lang w:val="es-MX"/>
              </w:rPr>
              <w:t>Nơi nhận:</w:t>
            </w:r>
          </w:p>
          <w:p w:rsidR="005A0CD6" w:rsidRPr="00C52A30" w:rsidRDefault="005A0CD6" w:rsidP="00C654F6">
            <w:pPr>
              <w:widowControl w:val="0"/>
              <w:tabs>
                <w:tab w:val="left" w:pos="1260"/>
              </w:tabs>
              <w:spacing w:after="0"/>
              <w:rPr>
                <w:bCs/>
                <w:color w:val="auto"/>
                <w:lang w:val="es-MX"/>
              </w:rPr>
            </w:pPr>
            <w:r w:rsidRPr="00C52A30">
              <w:rPr>
                <w:bCs/>
                <w:color w:val="auto"/>
                <w:sz w:val="22"/>
                <w:lang w:val="es-MX"/>
              </w:rPr>
              <w:t>- Như kính gửi;</w:t>
            </w:r>
          </w:p>
          <w:p w:rsidR="005A0CD6" w:rsidRPr="00C52A30" w:rsidRDefault="005A0CD6" w:rsidP="00C654F6">
            <w:pPr>
              <w:widowControl w:val="0"/>
              <w:tabs>
                <w:tab w:val="left" w:pos="1260"/>
              </w:tabs>
              <w:spacing w:after="0"/>
              <w:rPr>
                <w:color w:val="auto"/>
                <w:lang w:val="es-MX"/>
              </w:rPr>
            </w:pPr>
            <w:r w:rsidRPr="00C52A30">
              <w:rPr>
                <w:color w:val="auto"/>
                <w:sz w:val="22"/>
                <w:lang w:val="es-MX"/>
              </w:rPr>
              <w:t>- Lưu: HC, PL;</w:t>
            </w:r>
          </w:p>
          <w:p w:rsidR="005A0CD6" w:rsidRPr="00C52A30" w:rsidRDefault="005A0CD6" w:rsidP="00C654F6">
            <w:pPr>
              <w:widowControl w:val="0"/>
              <w:tabs>
                <w:tab w:val="left" w:pos="1260"/>
              </w:tabs>
              <w:spacing w:after="0"/>
              <w:rPr>
                <w:i/>
                <w:color w:val="auto"/>
                <w:lang w:val="es-MX"/>
              </w:rPr>
            </w:pPr>
            <w:r w:rsidRPr="00C52A30">
              <w:rPr>
                <w:color w:val="auto"/>
                <w:sz w:val="22"/>
                <w:lang w:val="es-MX"/>
              </w:rPr>
              <w:t xml:space="preserve">- Epas: </w:t>
            </w:r>
            <w:r>
              <w:rPr>
                <w:color w:val="auto"/>
                <w:sz w:val="22"/>
                <w:lang w:val="es-MX"/>
              </w:rPr>
              <w:t>61694</w:t>
            </w:r>
            <w:r w:rsidRPr="00C52A30">
              <w:rPr>
                <w:color w:val="auto"/>
                <w:sz w:val="22"/>
                <w:lang w:val="es-MX"/>
              </w:rPr>
              <w:t>.</w:t>
            </w:r>
          </w:p>
        </w:tc>
        <w:tc>
          <w:tcPr>
            <w:tcW w:w="5040" w:type="dxa"/>
          </w:tcPr>
          <w:p w:rsidR="005A0CD6" w:rsidRPr="00C52A30" w:rsidRDefault="005A0CD6" w:rsidP="00C654F6">
            <w:pPr>
              <w:pStyle w:val="BodyTextIndent2"/>
              <w:spacing w:before="120" w:after="0" w:line="240" w:lineRule="auto"/>
              <w:ind w:left="0" w:firstLine="0"/>
              <w:jc w:val="center"/>
              <w:rPr>
                <w:b/>
                <w:color w:val="auto"/>
                <w:sz w:val="26"/>
                <w:szCs w:val="28"/>
                <w:lang w:val="es-MX"/>
              </w:rPr>
            </w:pPr>
            <w:r w:rsidRPr="00C52A30">
              <w:rPr>
                <w:b/>
                <w:color w:val="auto"/>
                <w:sz w:val="26"/>
                <w:szCs w:val="28"/>
                <w:lang w:val="vi-VN"/>
              </w:rPr>
              <w:t xml:space="preserve">TM. </w:t>
            </w:r>
            <w:r w:rsidRPr="00C52A30">
              <w:rPr>
                <w:b/>
                <w:color w:val="auto"/>
                <w:sz w:val="26"/>
                <w:szCs w:val="28"/>
                <w:lang w:val="es-MX"/>
              </w:rPr>
              <w:t xml:space="preserve">ỦY </w:t>
            </w:r>
            <w:r w:rsidRPr="00C52A30">
              <w:rPr>
                <w:b/>
                <w:color w:val="auto"/>
                <w:sz w:val="26"/>
                <w:szCs w:val="28"/>
                <w:lang w:val="vi-VN"/>
              </w:rPr>
              <w:t xml:space="preserve">BAN </w:t>
            </w:r>
            <w:r w:rsidRPr="00C52A30">
              <w:rPr>
                <w:b/>
                <w:color w:val="auto"/>
                <w:sz w:val="26"/>
                <w:szCs w:val="28"/>
                <w:lang w:val="es-MX"/>
              </w:rPr>
              <w:t>PHÁP LUẬT</w:t>
            </w:r>
          </w:p>
          <w:p w:rsidR="005A0CD6" w:rsidRPr="00C52A30" w:rsidRDefault="005A0CD6" w:rsidP="00C654F6">
            <w:pPr>
              <w:pStyle w:val="BodyTextIndent2"/>
              <w:tabs>
                <w:tab w:val="left" w:pos="1400"/>
              </w:tabs>
              <w:spacing w:before="60" w:after="0" w:line="240" w:lineRule="auto"/>
              <w:ind w:left="0" w:firstLine="0"/>
              <w:jc w:val="center"/>
              <w:rPr>
                <w:b/>
                <w:color w:val="auto"/>
                <w:sz w:val="26"/>
                <w:szCs w:val="28"/>
                <w:lang w:val="es-MX"/>
              </w:rPr>
            </w:pPr>
            <w:r w:rsidRPr="00C52A30">
              <w:rPr>
                <w:b/>
                <w:color w:val="auto"/>
                <w:sz w:val="26"/>
                <w:szCs w:val="28"/>
                <w:lang w:val="es-MX"/>
              </w:rPr>
              <w:t>CHỦ NHIỆM</w:t>
            </w:r>
          </w:p>
          <w:p w:rsidR="005A0CD6" w:rsidRPr="00C52A30" w:rsidRDefault="005A0CD6" w:rsidP="00C654F6">
            <w:pPr>
              <w:widowControl w:val="0"/>
              <w:tabs>
                <w:tab w:val="left" w:pos="0"/>
              </w:tabs>
              <w:ind w:firstLine="12"/>
              <w:jc w:val="center"/>
              <w:rPr>
                <w:b/>
                <w:color w:val="auto"/>
                <w:sz w:val="28"/>
                <w:szCs w:val="28"/>
                <w:lang w:val="es-MX"/>
              </w:rPr>
            </w:pPr>
          </w:p>
          <w:p w:rsidR="005A0CD6" w:rsidRDefault="00A9231D" w:rsidP="00C654F6">
            <w:pPr>
              <w:widowControl w:val="0"/>
              <w:tabs>
                <w:tab w:val="left" w:pos="0"/>
              </w:tabs>
              <w:ind w:firstLine="12"/>
              <w:jc w:val="center"/>
              <w:rPr>
                <w:b/>
                <w:color w:val="auto"/>
                <w:sz w:val="28"/>
                <w:szCs w:val="28"/>
                <w:lang w:val="es-MX"/>
              </w:rPr>
            </w:pPr>
            <w:r>
              <w:rPr>
                <w:b/>
                <w:color w:val="auto"/>
                <w:sz w:val="28"/>
                <w:szCs w:val="28"/>
                <w:lang w:val="es-MX"/>
              </w:rPr>
              <w:t>(Đã ký</w:t>
            </w:r>
            <w:bookmarkStart w:id="0" w:name="_GoBack"/>
            <w:bookmarkEnd w:id="0"/>
            <w:r>
              <w:rPr>
                <w:b/>
                <w:color w:val="auto"/>
                <w:sz w:val="28"/>
                <w:szCs w:val="28"/>
                <w:lang w:val="es-MX"/>
              </w:rPr>
              <w:t>)</w:t>
            </w:r>
          </w:p>
          <w:p w:rsidR="005A0CD6" w:rsidRPr="00F52E21" w:rsidRDefault="005A0CD6" w:rsidP="00C654F6">
            <w:pPr>
              <w:widowControl w:val="0"/>
              <w:tabs>
                <w:tab w:val="left" w:pos="0"/>
              </w:tabs>
              <w:ind w:firstLine="12"/>
              <w:jc w:val="center"/>
              <w:rPr>
                <w:b/>
                <w:color w:val="auto"/>
                <w:sz w:val="28"/>
                <w:szCs w:val="28"/>
              </w:rPr>
            </w:pPr>
          </w:p>
        </w:tc>
      </w:tr>
    </w:tbl>
    <w:p w:rsidR="005A0CD6" w:rsidRDefault="005A0CD6" w:rsidP="005A0CD6"/>
    <w:p w:rsidR="00713CCE" w:rsidRPr="005A0CD6" w:rsidRDefault="005A0CD6" w:rsidP="005A0CD6">
      <w:r>
        <w:rPr>
          <w:b/>
          <w:color w:val="auto"/>
          <w:sz w:val="28"/>
          <w:szCs w:val="28"/>
        </w:rPr>
        <w:t xml:space="preserve">                                                                     </w:t>
      </w:r>
      <w:r w:rsidRPr="00C52A30">
        <w:rPr>
          <w:b/>
          <w:color w:val="auto"/>
          <w:sz w:val="28"/>
          <w:szCs w:val="28"/>
        </w:rPr>
        <w:t>Nguyễn Khắc Định</w:t>
      </w:r>
    </w:p>
    <w:sectPr w:rsidR="00713CCE" w:rsidRPr="005A0CD6" w:rsidSect="00D944C7">
      <w:headerReference w:type="even" r:id="rId8"/>
      <w:headerReference w:type="default" r:id="rId9"/>
      <w:footerReference w:type="even" r:id="rId10"/>
      <w:pgSz w:w="11907" w:h="16840" w:code="9"/>
      <w:pgMar w:top="1134" w:right="1021" w:bottom="1021" w:left="1588" w:header="6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755" w:rsidRDefault="00CE0755" w:rsidP="00EA41ED">
      <w:pPr>
        <w:spacing w:after="0"/>
      </w:pPr>
      <w:r>
        <w:separator/>
      </w:r>
    </w:p>
  </w:endnote>
  <w:endnote w:type="continuationSeparator" w:id="0">
    <w:p w:rsidR="00CE0755" w:rsidRDefault="00CE0755" w:rsidP="00EA41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42" w:rsidRDefault="00457CE7" w:rsidP="007F6F42">
    <w:pPr>
      <w:pStyle w:val="Footer"/>
      <w:framePr w:wrap="around" w:vAnchor="text" w:hAnchor="margin" w:xAlign="center" w:y="1"/>
      <w:rPr>
        <w:rStyle w:val="PageNumber"/>
      </w:rPr>
    </w:pPr>
    <w:r>
      <w:rPr>
        <w:rStyle w:val="PageNumber"/>
      </w:rPr>
      <w:fldChar w:fldCharType="begin"/>
    </w:r>
    <w:r w:rsidR="004F1033">
      <w:rPr>
        <w:rStyle w:val="PageNumber"/>
      </w:rPr>
      <w:instrText xml:space="preserve">PAGE  </w:instrText>
    </w:r>
    <w:r>
      <w:rPr>
        <w:rStyle w:val="PageNumber"/>
      </w:rPr>
      <w:fldChar w:fldCharType="end"/>
    </w:r>
  </w:p>
  <w:p w:rsidR="007F6F42" w:rsidRDefault="00CE0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755" w:rsidRDefault="00CE0755" w:rsidP="00EA41ED">
      <w:pPr>
        <w:spacing w:after="0"/>
      </w:pPr>
      <w:r>
        <w:separator/>
      </w:r>
    </w:p>
  </w:footnote>
  <w:footnote w:type="continuationSeparator" w:id="0">
    <w:p w:rsidR="00CE0755" w:rsidRDefault="00CE0755" w:rsidP="00EA41ED">
      <w:pPr>
        <w:spacing w:after="0"/>
      </w:pPr>
      <w:r>
        <w:continuationSeparator/>
      </w:r>
    </w:p>
  </w:footnote>
  <w:footnote w:id="1">
    <w:p w:rsidR="005A0CD6" w:rsidRPr="00C47E34" w:rsidRDefault="005A0CD6" w:rsidP="005A0CD6">
      <w:pPr>
        <w:spacing w:before="120" w:line="245" w:lineRule="auto"/>
        <w:ind w:firstLine="601"/>
        <w:rPr>
          <w:color w:val="auto"/>
          <w:sz w:val="22"/>
        </w:rPr>
      </w:pPr>
      <w:r w:rsidRPr="00C47E34">
        <w:rPr>
          <w:rStyle w:val="FootnoteReference"/>
          <w:sz w:val="22"/>
        </w:rPr>
        <w:footnoteRef/>
      </w:r>
      <w:r w:rsidRPr="00C47E34">
        <w:rPr>
          <w:sz w:val="22"/>
        </w:rPr>
        <w:t xml:space="preserve"> </w:t>
      </w:r>
      <w:r w:rsidRPr="00C47E34">
        <w:rPr>
          <w:color w:val="auto"/>
          <w:sz w:val="22"/>
        </w:rPr>
        <w:t>Tờ trình số 132 /TTr-CP ngày 13/04/2017 của Chính phủ; Báo cáo thẩm tra số 539/BC-UBPL14  ngày 05/05/2017 của Ủy ban Pháp luật của Quốc hội.</w:t>
      </w:r>
    </w:p>
    <w:p w:rsidR="005A0CD6" w:rsidRPr="00C47E34" w:rsidRDefault="005A0CD6" w:rsidP="005A0CD6">
      <w:pPr>
        <w:pStyle w:val="FootnoteText"/>
        <w:rPr>
          <w:sz w:val="22"/>
        </w:rPr>
      </w:pPr>
      <w:r w:rsidRPr="00C47E34">
        <w:rPr>
          <w:sz w:val="22"/>
        </w:rPr>
        <w:t xml:space="preserve">2. </w:t>
      </w:r>
      <w:r w:rsidRPr="00C47E34">
        <w:rPr>
          <w:color w:val="auto"/>
          <w:spacing w:val="-4"/>
          <w:sz w:val="22"/>
        </w:rPr>
        <w:t xml:space="preserve">So với dự thảo Luật trình Quốc hội tại kỳ họp thứ 3, dự thảo Luật mới đã </w:t>
      </w:r>
      <w:r>
        <w:rPr>
          <w:color w:val="auto"/>
          <w:spacing w:val="-4"/>
          <w:sz w:val="22"/>
        </w:rPr>
        <w:t xml:space="preserve">tiếp thu, chỉnh lý </w:t>
      </w:r>
      <w:r w:rsidRPr="00C47E34">
        <w:rPr>
          <w:color w:val="auto"/>
          <w:spacing w:val="-4"/>
          <w:sz w:val="22"/>
        </w:rPr>
        <w:t>45/64 điều và bổ sung 12 điều mới.</w:t>
      </w:r>
    </w:p>
  </w:footnote>
  <w:footnote w:id="2">
    <w:p w:rsidR="005A0CD6" w:rsidRDefault="005A0CD6" w:rsidP="005A0CD6"/>
    <w:p w:rsidR="005A0CD6" w:rsidRDefault="005A0CD6" w:rsidP="005A0CD6">
      <w:pPr>
        <w:pStyle w:val="FootnoteText"/>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42" w:rsidRDefault="00457CE7" w:rsidP="007F6F42">
    <w:pPr>
      <w:pStyle w:val="Header"/>
      <w:framePr w:wrap="around" w:vAnchor="text" w:hAnchor="margin" w:xAlign="center" w:y="1"/>
      <w:rPr>
        <w:rStyle w:val="PageNumber"/>
      </w:rPr>
    </w:pPr>
    <w:r>
      <w:rPr>
        <w:rStyle w:val="PageNumber"/>
      </w:rPr>
      <w:fldChar w:fldCharType="begin"/>
    </w:r>
    <w:r w:rsidR="004F1033">
      <w:rPr>
        <w:rStyle w:val="PageNumber"/>
      </w:rPr>
      <w:instrText xml:space="preserve">PAGE  </w:instrText>
    </w:r>
    <w:r>
      <w:rPr>
        <w:rStyle w:val="PageNumber"/>
      </w:rPr>
      <w:fldChar w:fldCharType="end"/>
    </w:r>
  </w:p>
  <w:p w:rsidR="007F6F42" w:rsidRDefault="00CE07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42" w:rsidRDefault="00457CE7" w:rsidP="007F6F42">
    <w:pPr>
      <w:pStyle w:val="Header"/>
      <w:framePr w:wrap="around" w:vAnchor="text" w:hAnchor="margin" w:xAlign="center" w:y="1"/>
      <w:ind w:firstLine="0"/>
      <w:rPr>
        <w:rStyle w:val="PageNumber"/>
      </w:rPr>
    </w:pPr>
    <w:r>
      <w:rPr>
        <w:rStyle w:val="PageNumber"/>
      </w:rPr>
      <w:fldChar w:fldCharType="begin"/>
    </w:r>
    <w:r w:rsidR="004F1033">
      <w:rPr>
        <w:rStyle w:val="PageNumber"/>
      </w:rPr>
      <w:instrText xml:space="preserve">PAGE  </w:instrText>
    </w:r>
    <w:r>
      <w:rPr>
        <w:rStyle w:val="PageNumber"/>
      </w:rPr>
      <w:fldChar w:fldCharType="separate"/>
    </w:r>
    <w:r w:rsidR="00A9231D">
      <w:rPr>
        <w:rStyle w:val="PageNumber"/>
        <w:noProof/>
      </w:rPr>
      <w:t>5</w:t>
    </w:r>
    <w:r>
      <w:rPr>
        <w:rStyle w:val="PageNumber"/>
      </w:rPr>
      <w:fldChar w:fldCharType="end"/>
    </w:r>
  </w:p>
  <w:p w:rsidR="007F6F42" w:rsidRDefault="00CE07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A41ED"/>
    <w:rsid w:val="00002C3D"/>
    <w:rsid w:val="000146CE"/>
    <w:rsid w:val="00030E24"/>
    <w:rsid w:val="00034E5F"/>
    <w:rsid w:val="00046FDB"/>
    <w:rsid w:val="000579EB"/>
    <w:rsid w:val="00063832"/>
    <w:rsid w:val="00070E77"/>
    <w:rsid w:val="00074D72"/>
    <w:rsid w:val="000801B6"/>
    <w:rsid w:val="00084064"/>
    <w:rsid w:val="00090A8E"/>
    <w:rsid w:val="000B35B3"/>
    <w:rsid w:val="000B52A0"/>
    <w:rsid w:val="000B6DCD"/>
    <w:rsid w:val="000C2462"/>
    <w:rsid w:val="000C772C"/>
    <w:rsid w:val="00104264"/>
    <w:rsid w:val="00110491"/>
    <w:rsid w:val="00116874"/>
    <w:rsid w:val="0012622C"/>
    <w:rsid w:val="0013449A"/>
    <w:rsid w:val="00142706"/>
    <w:rsid w:val="001519E5"/>
    <w:rsid w:val="00163C70"/>
    <w:rsid w:val="00167A47"/>
    <w:rsid w:val="00173972"/>
    <w:rsid w:val="00177148"/>
    <w:rsid w:val="00187590"/>
    <w:rsid w:val="001914A5"/>
    <w:rsid w:val="00192970"/>
    <w:rsid w:val="001A441D"/>
    <w:rsid w:val="001B44FC"/>
    <w:rsid w:val="001C003F"/>
    <w:rsid w:val="001C0E68"/>
    <w:rsid w:val="001C65C6"/>
    <w:rsid w:val="001E452D"/>
    <w:rsid w:val="001F055D"/>
    <w:rsid w:val="001F6F65"/>
    <w:rsid w:val="00200A94"/>
    <w:rsid w:val="00207726"/>
    <w:rsid w:val="002215C6"/>
    <w:rsid w:val="0022549C"/>
    <w:rsid w:val="00233C42"/>
    <w:rsid w:val="002404DD"/>
    <w:rsid w:val="0027116F"/>
    <w:rsid w:val="002815EA"/>
    <w:rsid w:val="002843F0"/>
    <w:rsid w:val="00285029"/>
    <w:rsid w:val="002935AD"/>
    <w:rsid w:val="002A5FBC"/>
    <w:rsid w:val="002B1E14"/>
    <w:rsid w:val="002B39D3"/>
    <w:rsid w:val="002D5B17"/>
    <w:rsid w:val="00303946"/>
    <w:rsid w:val="003230E4"/>
    <w:rsid w:val="003252FD"/>
    <w:rsid w:val="00332488"/>
    <w:rsid w:val="00332854"/>
    <w:rsid w:val="00340922"/>
    <w:rsid w:val="00342530"/>
    <w:rsid w:val="00342A5C"/>
    <w:rsid w:val="003439CB"/>
    <w:rsid w:val="003465A2"/>
    <w:rsid w:val="00353504"/>
    <w:rsid w:val="003538A5"/>
    <w:rsid w:val="00361160"/>
    <w:rsid w:val="00371FE6"/>
    <w:rsid w:val="00376056"/>
    <w:rsid w:val="00383489"/>
    <w:rsid w:val="003902E8"/>
    <w:rsid w:val="0039156C"/>
    <w:rsid w:val="00393515"/>
    <w:rsid w:val="003A2BE2"/>
    <w:rsid w:val="003B3090"/>
    <w:rsid w:val="003B4054"/>
    <w:rsid w:val="003C2AD6"/>
    <w:rsid w:val="003C5ECA"/>
    <w:rsid w:val="003C6C01"/>
    <w:rsid w:val="003D6996"/>
    <w:rsid w:val="003E3FF1"/>
    <w:rsid w:val="00403362"/>
    <w:rsid w:val="00427088"/>
    <w:rsid w:val="00432BA9"/>
    <w:rsid w:val="0044624A"/>
    <w:rsid w:val="00453EB3"/>
    <w:rsid w:val="00457CE7"/>
    <w:rsid w:val="00462966"/>
    <w:rsid w:val="00463FC2"/>
    <w:rsid w:val="00466B74"/>
    <w:rsid w:val="004925D7"/>
    <w:rsid w:val="004A163C"/>
    <w:rsid w:val="004D2AE6"/>
    <w:rsid w:val="004D7B34"/>
    <w:rsid w:val="004E13EE"/>
    <w:rsid w:val="004E27C3"/>
    <w:rsid w:val="004F1033"/>
    <w:rsid w:val="004F2C3B"/>
    <w:rsid w:val="004F4709"/>
    <w:rsid w:val="00521689"/>
    <w:rsid w:val="00524279"/>
    <w:rsid w:val="00561189"/>
    <w:rsid w:val="005761C4"/>
    <w:rsid w:val="0057698C"/>
    <w:rsid w:val="005803CD"/>
    <w:rsid w:val="005857BA"/>
    <w:rsid w:val="00591E1F"/>
    <w:rsid w:val="005A0B8F"/>
    <w:rsid w:val="005A0CD6"/>
    <w:rsid w:val="005B2FE3"/>
    <w:rsid w:val="005D33FB"/>
    <w:rsid w:val="005E11BE"/>
    <w:rsid w:val="005E2719"/>
    <w:rsid w:val="005F1795"/>
    <w:rsid w:val="005F33F9"/>
    <w:rsid w:val="006000A0"/>
    <w:rsid w:val="00613220"/>
    <w:rsid w:val="00616F1E"/>
    <w:rsid w:val="00617583"/>
    <w:rsid w:val="0063658D"/>
    <w:rsid w:val="00652174"/>
    <w:rsid w:val="0066059F"/>
    <w:rsid w:val="00660A16"/>
    <w:rsid w:val="00670B66"/>
    <w:rsid w:val="0069665F"/>
    <w:rsid w:val="006A5C73"/>
    <w:rsid w:val="006A6C6E"/>
    <w:rsid w:val="006B5DF5"/>
    <w:rsid w:val="006C3925"/>
    <w:rsid w:val="006D1F6C"/>
    <w:rsid w:val="006E1438"/>
    <w:rsid w:val="006F21CB"/>
    <w:rsid w:val="006F2502"/>
    <w:rsid w:val="006F4007"/>
    <w:rsid w:val="006F4B70"/>
    <w:rsid w:val="0070163A"/>
    <w:rsid w:val="00713CCE"/>
    <w:rsid w:val="007162F5"/>
    <w:rsid w:val="00723C2A"/>
    <w:rsid w:val="00730D70"/>
    <w:rsid w:val="007633BE"/>
    <w:rsid w:val="00771355"/>
    <w:rsid w:val="00775D21"/>
    <w:rsid w:val="00790250"/>
    <w:rsid w:val="007960F6"/>
    <w:rsid w:val="007967E1"/>
    <w:rsid w:val="007A15B8"/>
    <w:rsid w:val="007A1B3B"/>
    <w:rsid w:val="007B5BC9"/>
    <w:rsid w:val="007C4AE4"/>
    <w:rsid w:val="007D0936"/>
    <w:rsid w:val="007D3822"/>
    <w:rsid w:val="007E032C"/>
    <w:rsid w:val="007E0EC7"/>
    <w:rsid w:val="007E5ACE"/>
    <w:rsid w:val="00801F3D"/>
    <w:rsid w:val="00807B39"/>
    <w:rsid w:val="008215DA"/>
    <w:rsid w:val="00824E20"/>
    <w:rsid w:val="00850244"/>
    <w:rsid w:val="008502EE"/>
    <w:rsid w:val="00853C96"/>
    <w:rsid w:val="008574E7"/>
    <w:rsid w:val="008647F0"/>
    <w:rsid w:val="00871BF1"/>
    <w:rsid w:val="00896AB5"/>
    <w:rsid w:val="008A2DF7"/>
    <w:rsid w:val="008D6D76"/>
    <w:rsid w:val="00921187"/>
    <w:rsid w:val="00953434"/>
    <w:rsid w:val="00953A61"/>
    <w:rsid w:val="00964296"/>
    <w:rsid w:val="00964394"/>
    <w:rsid w:val="00965F96"/>
    <w:rsid w:val="00983B15"/>
    <w:rsid w:val="00992C00"/>
    <w:rsid w:val="00994327"/>
    <w:rsid w:val="009966DD"/>
    <w:rsid w:val="009969CB"/>
    <w:rsid w:val="00996CBC"/>
    <w:rsid w:val="009A16C7"/>
    <w:rsid w:val="009A1858"/>
    <w:rsid w:val="009A7C4F"/>
    <w:rsid w:val="009B452D"/>
    <w:rsid w:val="009C4C87"/>
    <w:rsid w:val="009D3667"/>
    <w:rsid w:val="009D588E"/>
    <w:rsid w:val="009F2BEE"/>
    <w:rsid w:val="00A118A8"/>
    <w:rsid w:val="00A14CA8"/>
    <w:rsid w:val="00A17944"/>
    <w:rsid w:val="00A221CE"/>
    <w:rsid w:val="00A30DF3"/>
    <w:rsid w:val="00A41DC7"/>
    <w:rsid w:val="00A5046B"/>
    <w:rsid w:val="00A6088E"/>
    <w:rsid w:val="00A71E4F"/>
    <w:rsid w:val="00A751C7"/>
    <w:rsid w:val="00A76231"/>
    <w:rsid w:val="00A82682"/>
    <w:rsid w:val="00A915EC"/>
    <w:rsid w:val="00A9231D"/>
    <w:rsid w:val="00A9611A"/>
    <w:rsid w:val="00A96412"/>
    <w:rsid w:val="00AA2580"/>
    <w:rsid w:val="00AA6471"/>
    <w:rsid w:val="00AA7458"/>
    <w:rsid w:val="00AB68A6"/>
    <w:rsid w:val="00AC2C27"/>
    <w:rsid w:val="00AC35B4"/>
    <w:rsid w:val="00AC646E"/>
    <w:rsid w:val="00AC7C77"/>
    <w:rsid w:val="00AD484E"/>
    <w:rsid w:val="00AD7C26"/>
    <w:rsid w:val="00B06465"/>
    <w:rsid w:val="00B06709"/>
    <w:rsid w:val="00B11D6B"/>
    <w:rsid w:val="00B12D76"/>
    <w:rsid w:val="00B13E82"/>
    <w:rsid w:val="00B31748"/>
    <w:rsid w:val="00B42071"/>
    <w:rsid w:val="00B422A0"/>
    <w:rsid w:val="00B42C5F"/>
    <w:rsid w:val="00B506A7"/>
    <w:rsid w:val="00B850B7"/>
    <w:rsid w:val="00B9544A"/>
    <w:rsid w:val="00BA7EC2"/>
    <w:rsid w:val="00BB0E07"/>
    <w:rsid w:val="00BB1052"/>
    <w:rsid w:val="00BB511E"/>
    <w:rsid w:val="00BB7EB3"/>
    <w:rsid w:val="00BE4B10"/>
    <w:rsid w:val="00BF0C5C"/>
    <w:rsid w:val="00BF247C"/>
    <w:rsid w:val="00BF3C7D"/>
    <w:rsid w:val="00BF784F"/>
    <w:rsid w:val="00C17B3A"/>
    <w:rsid w:val="00C218F4"/>
    <w:rsid w:val="00C2539A"/>
    <w:rsid w:val="00C27986"/>
    <w:rsid w:val="00C30299"/>
    <w:rsid w:val="00C32BE7"/>
    <w:rsid w:val="00C3428C"/>
    <w:rsid w:val="00C47E34"/>
    <w:rsid w:val="00C60FB0"/>
    <w:rsid w:val="00C835EB"/>
    <w:rsid w:val="00C84A14"/>
    <w:rsid w:val="00C91458"/>
    <w:rsid w:val="00CA309F"/>
    <w:rsid w:val="00CB5CAC"/>
    <w:rsid w:val="00CB6170"/>
    <w:rsid w:val="00CD0719"/>
    <w:rsid w:val="00CD3FE1"/>
    <w:rsid w:val="00CE0755"/>
    <w:rsid w:val="00CE0ABF"/>
    <w:rsid w:val="00CE6116"/>
    <w:rsid w:val="00CE6C57"/>
    <w:rsid w:val="00CF4D44"/>
    <w:rsid w:val="00CF6907"/>
    <w:rsid w:val="00D018A1"/>
    <w:rsid w:val="00D040FE"/>
    <w:rsid w:val="00D0500F"/>
    <w:rsid w:val="00D1609E"/>
    <w:rsid w:val="00D20703"/>
    <w:rsid w:val="00D23495"/>
    <w:rsid w:val="00D25129"/>
    <w:rsid w:val="00D37301"/>
    <w:rsid w:val="00D5337F"/>
    <w:rsid w:val="00D559AD"/>
    <w:rsid w:val="00D576C7"/>
    <w:rsid w:val="00D87A13"/>
    <w:rsid w:val="00D944C7"/>
    <w:rsid w:val="00DA5DDD"/>
    <w:rsid w:val="00DB0987"/>
    <w:rsid w:val="00DC1571"/>
    <w:rsid w:val="00DC21E0"/>
    <w:rsid w:val="00DD0FA0"/>
    <w:rsid w:val="00DE29FF"/>
    <w:rsid w:val="00DE3487"/>
    <w:rsid w:val="00DF48FF"/>
    <w:rsid w:val="00E016FC"/>
    <w:rsid w:val="00E05EEC"/>
    <w:rsid w:val="00E10297"/>
    <w:rsid w:val="00E34B47"/>
    <w:rsid w:val="00E40345"/>
    <w:rsid w:val="00E53A46"/>
    <w:rsid w:val="00E76F66"/>
    <w:rsid w:val="00E77824"/>
    <w:rsid w:val="00E939B1"/>
    <w:rsid w:val="00EA0DF3"/>
    <w:rsid w:val="00EA41ED"/>
    <w:rsid w:val="00EB62E6"/>
    <w:rsid w:val="00EC053F"/>
    <w:rsid w:val="00ED62F2"/>
    <w:rsid w:val="00F1160B"/>
    <w:rsid w:val="00F11AF9"/>
    <w:rsid w:val="00F24EB9"/>
    <w:rsid w:val="00F41967"/>
    <w:rsid w:val="00F51FB4"/>
    <w:rsid w:val="00F55539"/>
    <w:rsid w:val="00F71E21"/>
    <w:rsid w:val="00F81C3D"/>
    <w:rsid w:val="00F95009"/>
    <w:rsid w:val="00FA5DDA"/>
    <w:rsid w:val="00FB12B1"/>
    <w:rsid w:val="00FB3209"/>
    <w:rsid w:val="00FD0801"/>
    <w:rsid w:val="00FD319D"/>
    <w:rsid w:val="00FD6D65"/>
    <w:rsid w:val="00FE1B7E"/>
    <w:rsid w:val="00FE7714"/>
    <w:rsid w:val="00FF0260"/>
    <w:rsid w:val="00FF09AC"/>
    <w:rsid w:val="00FF0E40"/>
    <w:rsid w:val="00FF2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1ED"/>
    <w:pPr>
      <w:spacing w:after="120" w:line="240" w:lineRule="auto"/>
      <w:ind w:firstLine="567"/>
      <w:jc w:val="both"/>
    </w:pPr>
    <w:rPr>
      <w:rFonts w:ascii="Times New Roman" w:eastAsia="Times New Roman" w:hAnsi="Times New Roman" w:cs="Times New Roman"/>
      <w:color w:val="0000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EA41ED"/>
    <w:pPr>
      <w:spacing w:before="100" w:beforeAutospacing="1" w:after="100" w:afterAutospacing="1"/>
      <w:ind w:firstLine="0"/>
      <w:jc w:val="left"/>
    </w:pPr>
    <w:rPr>
      <w:color w:val="auto"/>
      <w:szCs w:val="24"/>
    </w:rPr>
  </w:style>
  <w:style w:type="paragraph" w:styleId="Footer">
    <w:name w:val="footer"/>
    <w:basedOn w:val="Normal"/>
    <w:link w:val="FooterChar"/>
    <w:rsid w:val="00EA41ED"/>
    <w:pPr>
      <w:tabs>
        <w:tab w:val="center" w:pos="4320"/>
        <w:tab w:val="right" w:pos="8640"/>
      </w:tabs>
    </w:pPr>
  </w:style>
  <w:style w:type="character" w:customStyle="1" w:styleId="FooterChar">
    <w:name w:val="Footer Char"/>
    <w:basedOn w:val="DefaultParagraphFont"/>
    <w:link w:val="Footer"/>
    <w:rsid w:val="00EA41ED"/>
    <w:rPr>
      <w:rFonts w:ascii="Times New Roman" w:eastAsia="Times New Roman" w:hAnsi="Times New Roman" w:cs="Times New Roman"/>
      <w:color w:val="0000FF"/>
      <w:sz w:val="24"/>
      <w:szCs w:val="20"/>
    </w:rPr>
  </w:style>
  <w:style w:type="character" w:styleId="PageNumber">
    <w:name w:val="page number"/>
    <w:basedOn w:val="DefaultParagraphFont"/>
    <w:rsid w:val="00EA41ED"/>
  </w:style>
  <w:style w:type="paragraph" w:styleId="BodyTextIndent2">
    <w:name w:val="Body Text Indent 2"/>
    <w:basedOn w:val="Normal"/>
    <w:link w:val="BodyTextIndent2Char"/>
    <w:rsid w:val="00EA41ED"/>
    <w:pPr>
      <w:spacing w:line="480" w:lineRule="auto"/>
      <w:ind w:left="360"/>
    </w:pPr>
  </w:style>
  <w:style w:type="character" w:customStyle="1" w:styleId="BodyTextIndent2Char">
    <w:name w:val="Body Text Indent 2 Char"/>
    <w:basedOn w:val="DefaultParagraphFont"/>
    <w:link w:val="BodyTextIndent2"/>
    <w:rsid w:val="00EA41ED"/>
    <w:rPr>
      <w:rFonts w:ascii="Times New Roman" w:eastAsia="Times New Roman" w:hAnsi="Times New Roman" w:cs="Times New Roman"/>
      <w:color w:val="0000FF"/>
      <w:sz w:val="24"/>
      <w:szCs w:val="20"/>
    </w:rPr>
  </w:style>
  <w:style w:type="paragraph" w:styleId="Header">
    <w:name w:val="header"/>
    <w:basedOn w:val="Normal"/>
    <w:link w:val="HeaderChar"/>
    <w:rsid w:val="00EA41ED"/>
    <w:pPr>
      <w:tabs>
        <w:tab w:val="center" w:pos="4320"/>
        <w:tab w:val="right" w:pos="8640"/>
      </w:tabs>
    </w:pPr>
  </w:style>
  <w:style w:type="character" w:customStyle="1" w:styleId="HeaderChar">
    <w:name w:val="Header Char"/>
    <w:basedOn w:val="DefaultParagraphFont"/>
    <w:link w:val="Header"/>
    <w:rsid w:val="00EA41ED"/>
    <w:rPr>
      <w:rFonts w:ascii="Times New Roman" w:eastAsia="Times New Roman" w:hAnsi="Times New Roman" w:cs="Times New Roman"/>
      <w:color w:val="0000FF"/>
      <w:sz w:val="24"/>
      <w:szCs w:val="20"/>
    </w:rPr>
  </w:style>
  <w:style w:type="paragraph" w:styleId="NormalWeb">
    <w:name w:val="Normal (Web)"/>
    <w:basedOn w:val="Normal"/>
    <w:uiPriority w:val="99"/>
    <w:rsid w:val="00EA41ED"/>
    <w:pPr>
      <w:spacing w:before="100" w:beforeAutospacing="1" w:after="100" w:afterAutospacing="1"/>
      <w:ind w:firstLine="0"/>
      <w:jc w:val="left"/>
    </w:pPr>
    <w:rPr>
      <w:color w:val="auto"/>
      <w:szCs w:val="24"/>
    </w:rPr>
  </w:style>
  <w:style w:type="paragraph" w:styleId="FootnoteText">
    <w:name w:val="footnote text"/>
    <w:basedOn w:val="Normal"/>
    <w:link w:val="FootnoteTextChar"/>
    <w:uiPriority w:val="99"/>
    <w:unhideWhenUsed/>
    <w:rsid w:val="00EA41ED"/>
    <w:pPr>
      <w:spacing w:after="0"/>
    </w:pPr>
    <w:rPr>
      <w:sz w:val="20"/>
    </w:rPr>
  </w:style>
  <w:style w:type="character" w:customStyle="1" w:styleId="FootnoteTextChar">
    <w:name w:val="Footnote Text Char"/>
    <w:basedOn w:val="DefaultParagraphFont"/>
    <w:link w:val="FootnoteText"/>
    <w:uiPriority w:val="99"/>
    <w:rsid w:val="00EA41ED"/>
    <w:rPr>
      <w:rFonts w:ascii="Times New Roman" w:eastAsia="Times New Roman" w:hAnsi="Times New Roman" w:cs="Times New Roman"/>
      <w:color w:val="0000FF"/>
      <w:sz w:val="20"/>
      <w:szCs w:val="20"/>
    </w:rPr>
  </w:style>
  <w:style w:type="paragraph" w:customStyle="1" w:styleId="Normal0">
    <w:name w:val="[Normal]"/>
    <w:rsid w:val="00EA41ED"/>
    <w:pPr>
      <w:spacing w:after="0" w:line="240" w:lineRule="auto"/>
    </w:pPr>
    <w:rPr>
      <w:rFonts w:ascii="Arial" w:eastAsia="Arial" w:hAnsi="Arial" w:cs="Times New Roman"/>
      <w:sz w:val="24"/>
      <w:szCs w:val="20"/>
    </w:rPr>
  </w:style>
  <w:style w:type="character" w:styleId="FootnoteReference">
    <w:name w:val="footnote reference"/>
    <w:basedOn w:val="DefaultParagraphFont"/>
    <w:uiPriority w:val="99"/>
    <w:semiHidden/>
    <w:unhideWhenUsed/>
    <w:rsid w:val="00EA41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90E56-9FC6-4107-A82D-FD77722ECDDA}"/>
</file>

<file path=customXml/itemProps2.xml><?xml version="1.0" encoding="utf-8"?>
<ds:datastoreItem xmlns:ds="http://schemas.openxmlformats.org/officeDocument/2006/customXml" ds:itemID="{992AE6E9-E708-4318-ABD8-28E901392627}"/>
</file>

<file path=customXml/itemProps3.xml><?xml version="1.0" encoding="utf-8"?>
<ds:datastoreItem xmlns:ds="http://schemas.openxmlformats.org/officeDocument/2006/customXml" ds:itemID="{30B113E2-E866-4832-AF0D-66DBBA3263AC}"/>
</file>

<file path=customXml/itemProps4.xml><?xml version="1.0" encoding="utf-8"?>
<ds:datastoreItem xmlns:ds="http://schemas.openxmlformats.org/officeDocument/2006/customXml" ds:itemID="{FC10FE1B-42CC-428B-AF9E-EBFAB7F9E874}"/>
</file>

<file path=docProps/app.xml><?xml version="1.0" encoding="utf-8"?>
<Properties xmlns="http://schemas.openxmlformats.org/officeDocument/2006/extended-properties" xmlns:vt="http://schemas.openxmlformats.org/officeDocument/2006/docPropsVTypes">
  <Template>Normal</Template>
  <TotalTime>69</TotalTime>
  <Pages>5</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hoanl</dc:creator>
  <cp:lastModifiedBy>Nguyen Thuy Ha</cp:lastModifiedBy>
  <cp:revision>60</cp:revision>
  <cp:lastPrinted>2017-08-15T11:52:00Z</cp:lastPrinted>
  <dcterms:created xsi:type="dcterms:W3CDTF">2017-08-15T10:50:00Z</dcterms:created>
  <dcterms:modified xsi:type="dcterms:W3CDTF">2017-08-16T08:16:00Z</dcterms:modified>
</cp:coreProperties>
</file>